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EFC2" w14:textId="16F9F252" w:rsidR="0015682E" w:rsidRDefault="0015682E" w:rsidP="00607ABF">
      <w:pPr>
        <w:bidi/>
        <w:spacing w:after="0" w:line="440" w:lineRule="exact"/>
        <w:jc w:val="right"/>
        <w:rPr>
          <w:rFonts w:asciiTheme="majorBidi" w:hAnsiTheme="majorBidi" w:cstheme="majorBidi"/>
          <w:b/>
          <w:bCs/>
          <w:rtl/>
          <w:lang w:bidi="ar-AE"/>
        </w:rPr>
      </w:pPr>
      <w:r w:rsidRPr="00F53187">
        <w:rPr>
          <w:rFonts w:asciiTheme="majorBidi" w:hAnsiTheme="majorBidi" w:cstheme="majorBidi"/>
          <w:b/>
          <w:bCs/>
          <w:rtl/>
          <w:lang w:bidi="ar-AE"/>
        </w:rPr>
        <w:t>للنشر يوم</w:t>
      </w:r>
      <w:r w:rsidR="000A55E0" w:rsidRPr="00F53187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0F3FA3">
        <w:rPr>
          <w:rFonts w:asciiTheme="majorBidi" w:hAnsiTheme="majorBidi" w:cstheme="majorBidi" w:hint="cs"/>
          <w:b/>
          <w:bCs/>
          <w:rtl/>
          <w:lang w:bidi="ar-AE"/>
        </w:rPr>
        <w:t>26</w:t>
      </w:r>
      <w:r w:rsidR="008E15CD" w:rsidRPr="00F53187">
        <w:rPr>
          <w:rFonts w:asciiTheme="majorBidi" w:hAnsiTheme="majorBidi" w:cstheme="majorBidi"/>
          <w:b/>
          <w:bCs/>
          <w:rtl/>
          <w:lang w:bidi="ar-AE"/>
        </w:rPr>
        <w:t xml:space="preserve"> </w:t>
      </w:r>
      <w:r w:rsidRPr="00F53187">
        <w:rPr>
          <w:rFonts w:asciiTheme="majorBidi" w:hAnsiTheme="majorBidi" w:cstheme="majorBidi"/>
          <w:b/>
          <w:bCs/>
          <w:rtl/>
          <w:lang w:bidi="ar-AE"/>
        </w:rPr>
        <w:t xml:space="preserve">أبريل </w:t>
      </w:r>
      <w:r w:rsidR="000F3FA3">
        <w:rPr>
          <w:rFonts w:asciiTheme="majorBidi" w:hAnsiTheme="majorBidi" w:cstheme="majorBidi" w:hint="cs"/>
          <w:b/>
          <w:bCs/>
          <w:rtl/>
          <w:lang w:bidi="ar-AE"/>
        </w:rPr>
        <w:t>2024</w:t>
      </w:r>
      <w:r w:rsidR="00557ABB">
        <w:rPr>
          <w:rFonts w:asciiTheme="majorBidi" w:hAnsiTheme="majorBidi" w:cstheme="majorBidi" w:hint="cs"/>
          <w:b/>
          <w:bCs/>
          <w:rtl/>
          <w:lang w:bidi="ar-AE"/>
        </w:rPr>
        <w:t xml:space="preserve"> (8:00 صباحاً)</w:t>
      </w:r>
    </w:p>
    <w:p w14:paraId="23E93258" w14:textId="590C16D0" w:rsidR="00B36FCF" w:rsidRPr="00F53187" w:rsidRDefault="0015682E" w:rsidP="008A7FF0">
      <w:pPr>
        <w:bidi/>
        <w:spacing w:after="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53187"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>بيان صحفي</w:t>
      </w:r>
      <w:r w:rsidR="008A7FF0" w:rsidRPr="00F5318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صادر عن</w:t>
      </w:r>
      <w:r w:rsidR="008A7FF0" w:rsidRPr="00F5318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:</w:t>
      </w:r>
    </w:p>
    <w:p w14:paraId="0026F4B5" w14:textId="6DDC145F" w:rsidR="008A7FF0" w:rsidRPr="00F53187" w:rsidRDefault="00C01E49" w:rsidP="00B36FCF">
      <w:pPr>
        <w:bidi/>
        <w:spacing w:after="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أمانة </w:t>
      </w:r>
      <w:r w:rsidR="008A7FF0" w:rsidRPr="00F53187"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>مجلس محافظي المصارف المركزية ومؤسسات النقد العربية</w:t>
      </w:r>
    </w:p>
    <w:p w14:paraId="624F5167" w14:textId="7B80B70D" w:rsidR="00311D02" w:rsidRPr="00F53187" w:rsidRDefault="00311D02" w:rsidP="00B42769">
      <w:pPr>
        <w:bidi/>
        <w:spacing w:after="0" w:line="36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204805A" w14:textId="37C05512" w:rsidR="007918AB" w:rsidRPr="00F53187" w:rsidRDefault="00594E6B" w:rsidP="007918AB">
      <w:pPr>
        <w:bidi/>
        <w:spacing w:after="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5318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اليوم العربي للشمول المالي</w:t>
      </w:r>
      <w:r w:rsidR="007918AB" w:rsidRPr="00F5318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- </w:t>
      </w:r>
      <w:r w:rsidR="000F3FA3">
        <w:rPr>
          <w:rFonts w:asciiTheme="majorBidi" w:hAnsiTheme="majorBidi" w:cstheme="majorBidi" w:hint="cs"/>
          <w:b/>
          <w:bCs/>
          <w:sz w:val="26"/>
          <w:szCs w:val="26"/>
          <w:rtl/>
        </w:rPr>
        <w:t>26</w:t>
      </w:r>
      <w:r w:rsidR="007918AB" w:rsidRPr="00F5318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7918AB" w:rsidRPr="00F53187">
        <w:rPr>
          <w:rFonts w:asciiTheme="majorBidi" w:hAnsiTheme="majorBidi" w:cstheme="majorBidi"/>
          <w:b/>
          <w:bCs/>
          <w:sz w:val="26"/>
          <w:szCs w:val="26"/>
          <w:rtl/>
        </w:rPr>
        <w:t>أبريل</w:t>
      </w:r>
      <w:r w:rsidR="007918AB" w:rsidRPr="00F5318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(نيسان)</w:t>
      </w:r>
      <w:r w:rsidR="007918AB" w:rsidRPr="00F5318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0F3FA3">
        <w:rPr>
          <w:rFonts w:asciiTheme="majorBidi" w:hAnsiTheme="majorBidi" w:cstheme="majorBidi" w:hint="cs"/>
          <w:b/>
          <w:bCs/>
          <w:sz w:val="26"/>
          <w:szCs w:val="26"/>
          <w:rtl/>
        </w:rPr>
        <w:t>2024</w:t>
      </w:r>
    </w:p>
    <w:p w14:paraId="0E03FBC1" w14:textId="040B3A3C" w:rsidR="00B1307F" w:rsidRPr="00F53187" w:rsidRDefault="000E5873" w:rsidP="00A41D53">
      <w:pPr>
        <w:bidi/>
        <w:spacing w:after="0" w:line="440" w:lineRule="exact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F5318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تحت شعار: </w:t>
      </w:r>
      <w:r w:rsidR="00594E6B" w:rsidRPr="00F5318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"</w:t>
      </w:r>
      <w:r w:rsidR="000F3FA3" w:rsidRPr="000F3FA3">
        <w:rPr>
          <w:rFonts w:asciiTheme="majorBidi" w:hAnsiTheme="majorBidi" w:cs="Times New Roman"/>
          <w:b/>
          <w:bCs/>
          <w:sz w:val="26"/>
          <w:szCs w:val="26"/>
          <w:rtl/>
          <w:lang w:bidi="ar-AE"/>
        </w:rPr>
        <w:t>نحو تشجيع الادخار لتعزيز الشمول المالي</w:t>
      </w:r>
      <w:r w:rsidR="00594E6B" w:rsidRPr="00F5318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"</w:t>
      </w:r>
    </w:p>
    <w:p w14:paraId="6D41767F" w14:textId="77777777" w:rsidR="002E1F0B" w:rsidRPr="00691C14" w:rsidRDefault="002E1F0B" w:rsidP="002E1F0B">
      <w:pPr>
        <w:bidi/>
        <w:spacing w:after="0" w:line="440" w:lineRule="exact"/>
        <w:jc w:val="center"/>
        <w:rPr>
          <w:rFonts w:asciiTheme="majorBidi" w:hAnsiTheme="majorBidi" w:cs="Times New Roman"/>
          <w:sz w:val="28"/>
          <w:szCs w:val="28"/>
          <w:rtl/>
          <w:lang w:bidi="ar-AE"/>
        </w:rPr>
      </w:pPr>
      <w:bookmarkStart w:id="0" w:name="_GoBack"/>
      <w:bookmarkEnd w:id="0"/>
    </w:p>
    <w:p w14:paraId="17B2C81B" w14:textId="7EA4A2BC" w:rsidR="00D64024" w:rsidRDefault="00B53102" w:rsidP="001A45D5">
      <w:pPr>
        <w:pStyle w:val="ListParagraph"/>
        <w:tabs>
          <w:tab w:val="right" w:pos="270"/>
        </w:tabs>
        <w:bidi/>
        <w:spacing w:after="240" w:line="360" w:lineRule="auto"/>
        <w:ind w:left="-4"/>
        <w:contextualSpacing w:val="0"/>
        <w:jc w:val="both"/>
        <w:rPr>
          <w:rFonts w:asciiTheme="majorBidi" w:hAnsiTheme="majorBidi" w:cs="Times New Roman"/>
          <w:sz w:val="28"/>
          <w:szCs w:val="28"/>
          <w:rtl/>
          <w:lang w:bidi="ar-AE"/>
        </w:rPr>
      </w:pPr>
      <w:r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يحظى</w:t>
      </w:r>
      <w:r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 موضوع </w:t>
      </w:r>
      <w:r w:rsidR="00B86C7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الشمول المالي </w:t>
      </w:r>
      <w:r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باهتمام كبير من قبل مجلس محافظي المصارف المركزية ومؤسسات النقد العربية، إدراكاً </w:t>
      </w:r>
      <w:r w:rsidR="004C66D2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منه </w:t>
      </w:r>
      <w:r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للفرص الكامنة والكبيرة التي يمكن تحقيقها من خلال </w:t>
      </w:r>
      <w:r w:rsidR="00B86C75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تعزيز الوصول إلى الخدمات المالية</w:t>
      </w:r>
      <w:r w:rsidR="00B86C75"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 في الدول العربية</w:t>
      </w:r>
      <w:r w:rsidR="00B86C75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لدعم التنمية الاقتصادية الشاملة والمستدامة</w:t>
      </w:r>
      <w:r w:rsidR="007C6625" w:rsidRPr="008A4D32">
        <w:rPr>
          <w:rFonts w:asciiTheme="majorBidi" w:hAnsiTheme="majorBidi" w:cstheme="majorBidi"/>
          <w:sz w:val="28"/>
          <w:szCs w:val="28"/>
          <w:rtl/>
          <w:lang w:bidi="ar-AE"/>
        </w:rPr>
        <w:t>.</w:t>
      </w:r>
      <w:r w:rsidR="00992DE3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730EA3" w:rsidRPr="008A4D32">
        <w:rPr>
          <w:rFonts w:asciiTheme="majorBidi" w:hAnsiTheme="majorBidi" w:cstheme="majorBidi"/>
          <w:sz w:val="28"/>
          <w:szCs w:val="28"/>
          <w:rtl/>
          <w:lang w:bidi="ar-AE"/>
        </w:rPr>
        <w:t>لا</w:t>
      </w:r>
      <w:r w:rsidR="00C4488F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730EA3"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شك أن </w:t>
      </w:r>
      <w:bookmarkStart w:id="1" w:name="_Hlk104194855"/>
      <w:r w:rsidR="00B86C7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الادخار يعتبر 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>من أهم الخدمات المالية التي تلعب دورا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مهما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في تعزيز الشمول المالي والاستقرار الاقتصادي والتنمية بشكل عام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،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حيث 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أ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ثبتت الدراسات 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أ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ن الاقتصادات والفئات الاقتصادية ذات المستويات الجيدة من الادخار 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أ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>كثر استقرارا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>اقتصاديا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وثباتا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في معدلات النمو وقدرة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على تحمل الصدمات.</w:t>
      </w:r>
    </w:p>
    <w:p w14:paraId="6C85A698" w14:textId="0F26D6CC" w:rsidR="00690374" w:rsidRDefault="00D64024" w:rsidP="00D64024">
      <w:pPr>
        <w:pStyle w:val="ListParagraph"/>
        <w:tabs>
          <w:tab w:val="right" w:pos="270"/>
        </w:tabs>
        <w:bidi/>
        <w:spacing w:after="240" w:line="360" w:lineRule="auto"/>
        <w:ind w:left="-4"/>
        <w:contextualSpacing w:val="0"/>
        <w:jc w:val="both"/>
        <w:rPr>
          <w:rFonts w:asciiTheme="majorBidi" w:hAnsiTheme="majorBidi" w:cs="Times New Roman"/>
          <w:sz w:val="28"/>
          <w:szCs w:val="28"/>
          <w:lang w:bidi="ar-AE"/>
        </w:rPr>
      </w:pPr>
      <w:r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>من هنا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، أ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>ولت</w:t>
      </w:r>
      <w:r w:rsidR="00874FDD" w:rsidRPr="008A4D32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</w:t>
      </w:r>
      <w:r w:rsidR="00D12230">
        <w:rPr>
          <w:rFonts w:asciiTheme="majorBidi" w:hAnsiTheme="majorBidi" w:cs="Times New Roman" w:hint="cs"/>
          <w:sz w:val="28"/>
          <w:szCs w:val="28"/>
          <w:rtl/>
          <w:lang w:bidi="ar-AE"/>
        </w:rPr>
        <w:t>السلطات في المنطقة العربية تشجيع الادخار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اهتماما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خاصا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ً</w:t>
      </w:r>
      <w:r w:rsidR="001A45D5" w:rsidRPr="008A4D32">
        <w:rPr>
          <w:rFonts w:asciiTheme="majorBidi" w:hAnsiTheme="majorBidi" w:cs="Times New Roman" w:hint="cs"/>
          <w:sz w:val="28"/>
          <w:szCs w:val="28"/>
          <w:rtl/>
          <w:lang w:bidi="ar-AE"/>
        </w:rPr>
        <w:t>، من خلال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دعم</w:t>
      </w:r>
      <w:r w:rsidR="001A45D5" w:rsidRPr="008A4D32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</w:t>
      </w:r>
      <w:r w:rsidR="00D12230" w:rsidRPr="00D12230">
        <w:rPr>
          <w:rFonts w:asciiTheme="majorBidi" w:hAnsiTheme="majorBidi" w:cs="Times New Roman"/>
          <w:sz w:val="28"/>
          <w:szCs w:val="28"/>
          <w:rtl/>
          <w:lang w:bidi="ar-AE"/>
        </w:rPr>
        <w:t>تطوير أدوات ادخارية جديدة تناسب احتياجات الأفراد</w:t>
      </w:r>
      <w:r w:rsidR="00FF2A25">
        <w:rPr>
          <w:rFonts w:asciiTheme="majorBidi" w:hAnsiTheme="majorBidi" w:cs="Times New Roman" w:hint="cs"/>
          <w:sz w:val="28"/>
          <w:szCs w:val="28"/>
          <w:rtl/>
          <w:lang w:bidi="ar-AE"/>
        </w:rPr>
        <w:t>،</w:t>
      </w:r>
      <w:r w:rsidR="00806D13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و</w:t>
      </w:r>
      <w:r w:rsidR="00806D13" w:rsidRPr="00806D13">
        <w:rPr>
          <w:rFonts w:asciiTheme="majorBidi" w:hAnsiTheme="majorBidi" w:cs="Times New Roman"/>
          <w:sz w:val="28"/>
          <w:szCs w:val="28"/>
          <w:rtl/>
          <w:lang w:bidi="ar-AE"/>
        </w:rPr>
        <w:t>تحسين البنية التحتية المالية</w:t>
      </w:r>
      <w:r w:rsidR="00FF2A25">
        <w:rPr>
          <w:rFonts w:asciiTheme="majorBidi" w:hAnsiTheme="majorBidi" w:cs="Times New Roman" w:hint="cs"/>
          <w:sz w:val="28"/>
          <w:szCs w:val="28"/>
          <w:rtl/>
          <w:lang w:bidi="ar-AE"/>
        </w:rPr>
        <w:t>،</w:t>
      </w:r>
      <w:r w:rsidR="00806D13" w:rsidRPr="00806D13">
        <w:rPr>
          <w:rFonts w:asciiTheme="majorBidi" w:hAnsiTheme="majorBidi" w:cs="Times New Roman"/>
          <w:sz w:val="28"/>
          <w:szCs w:val="28"/>
          <w:rtl/>
          <w:lang w:bidi="ar-AE"/>
        </w:rPr>
        <w:t xml:space="preserve"> وتوسيع نطاق وصول الخدمات المالية </w:t>
      </w:r>
      <w:r w:rsidR="00806D13">
        <w:rPr>
          <w:rFonts w:asciiTheme="majorBidi" w:hAnsiTheme="majorBidi" w:cs="Times New Roman" w:hint="cs"/>
          <w:sz w:val="28"/>
          <w:szCs w:val="28"/>
          <w:rtl/>
          <w:lang w:bidi="ar-AE"/>
        </w:rPr>
        <w:t>لك</w:t>
      </w:r>
      <w:r w:rsidR="00FF2A25">
        <w:rPr>
          <w:rFonts w:asciiTheme="majorBidi" w:hAnsiTheme="majorBidi" w:cs="Times New Roman" w:hint="cs"/>
          <w:sz w:val="28"/>
          <w:szCs w:val="28"/>
          <w:rtl/>
          <w:lang w:bidi="ar-AE"/>
        </w:rPr>
        <w:t>افة</w:t>
      </w:r>
      <w:r w:rsidR="00806D13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فئات المجتمع</w:t>
      </w:r>
      <w:r w:rsidR="00B86C7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من خلال الخدمات المالية ال</w:t>
      </w:r>
      <w:r w:rsidR="00FB1D7F">
        <w:rPr>
          <w:rFonts w:asciiTheme="majorBidi" w:hAnsiTheme="majorBidi" w:cs="Times New Roman" w:hint="cs"/>
          <w:sz w:val="28"/>
          <w:szCs w:val="28"/>
          <w:rtl/>
          <w:lang w:bidi="ar-AE"/>
        </w:rPr>
        <w:t>رقمية</w:t>
      </w:r>
      <w:r w:rsidR="001A45D5" w:rsidRPr="008A4D32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، </w:t>
      </w:r>
      <w:r w:rsidR="00FF2A25">
        <w:rPr>
          <w:rFonts w:asciiTheme="majorBidi" w:hAnsiTheme="majorBidi" w:cs="Times New Roman" w:hint="cs"/>
          <w:sz w:val="28"/>
          <w:szCs w:val="28"/>
          <w:rtl/>
          <w:lang w:bidi="ar-AE"/>
        </w:rPr>
        <w:t>الأمر الذي</w:t>
      </w:r>
      <w:r w:rsidR="001A45D5" w:rsidRPr="008A4D32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يساهم في </w:t>
      </w:r>
      <w:r w:rsidR="00597DBC" w:rsidRPr="008A4D32">
        <w:rPr>
          <w:rFonts w:asciiTheme="majorBidi" w:hAnsiTheme="majorBidi" w:cs="Times New Roman"/>
          <w:sz w:val="28"/>
          <w:szCs w:val="28"/>
          <w:rtl/>
          <w:lang w:bidi="ar-AE"/>
        </w:rPr>
        <w:t xml:space="preserve">التنمية </w:t>
      </w:r>
      <w:r w:rsidR="00874FDD" w:rsidRPr="008A4D32">
        <w:rPr>
          <w:rFonts w:asciiTheme="majorBidi" w:hAnsiTheme="majorBidi" w:cs="Times New Roman" w:hint="cs"/>
          <w:sz w:val="28"/>
          <w:szCs w:val="28"/>
          <w:rtl/>
          <w:lang w:bidi="ar-AE"/>
        </w:rPr>
        <w:t>الشاملة و</w:t>
      </w:r>
      <w:r w:rsidR="00597DBC" w:rsidRPr="008A4D32">
        <w:rPr>
          <w:rFonts w:asciiTheme="majorBidi" w:hAnsiTheme="majorBidi" w:cs="Times New Roman"/>
          <w:sz w:val="28"/>
          <w:szCs w:val="28"/>
          <w:rtl/>
          <w:lang w:bidi="ar-AE"/>
        </w:rPr>
        <w:t>المستدامة</w:t>
      </w:r>
      <w:r w:rsidR="00597DBC" w:rsidRPr="008A4D32">
        <w:rPr>
          <w:rFonts w:asciiTheme="majorBidi" w:hAnsiTheme="majorBidi" w:cs="Times New Roman" w:hint="cs"/>
          <w:sz w:val="28"/>
          <w:szCs w:val="28"/>
          <w:rtl/>
          <w:lang w:bidi="ar-AE"/>
        </w:rPr>
        <w:t>.</w:t>
      </w:r>
    </w:p>
    <w:bookmarkEnd w:id="1"/>
    <w:p w14:paraId="021BC26A" w14:textId="211EC799" w:rsidR="00D64024" w:rsidRDefault="00D424F8" w:rsidP="00D64024">
      <w:pPr>
        <w:pStyle w:val="ListParagraph"/>
        <w:tabs>
          <w:tab w:val="right" w:pos="270"/>
        </w:tabs>
        <w:bidi/>
        <w:spacing w:after="240" w:line="360" w:lineRule="auto"/>
        <w:ind w:left="-4"/>
        <w:contextualSpacing w:val="0"/>
        <w:jc w:val="both"/>
        <w:rPr>
          <w:rFonts w:asciiTheme="majorBidi" w:hAnsiTheme="majorBidi" w:cs="Times New Roman"/>
          <w:sz w:val="28"/>
          <w:szCs w:val="28"/>
          <w:lang w:bidi="ar-AE"/>
        </w:rPr>
      </w:pP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بناءً على </w:t>
      </w:r>
      <w:r w:rsidR="0049716C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ذلك</w:t>
      </w:r>
      <w:r w:rsidR="00F142C8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يتم</w:t>
      </w:r>
      <w:r w:rsidR="0049716C"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5B1D46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إحياء اليوم العربي للشمول الما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>لي</w:t>
      </w:r>
      <w:r w:rsidR="005B1D46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B661B4">
        <w:rPr>
          <w:rFonts w:asciiTheme="majorBidi" w:hAnsiTheme="majorBidi" w:cstheme="majorBidi" w:hint="cs"/>
          <w:sz w:val="28"/>
          <w:szCs w:val="28"/>
          <w:rtl/>
          <w:lang w:bidi="ar-AE"/>
        </w:rPr>
        <w:t>لعام 2024</w:t>
      </w:r>
      <w:r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3D51C5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تحت شعار "</w:t>
      </w:r>
      <w:r w:rsidRPr="00D424F8">
        <w:rPr>
          <w:rFonts w:asciiTheme="majorBidi" w:hAnsiTheme="majorBidi"/>
          <w:b/>
          <w:bCs/>
          <w:sz w:val="28"/>
          <w:szCs w:val="28"/>
          <w:rtl/>
          <w:lang w:bidi="ar-AE"/>
        </w:rPr>
        <w:t>نحو تشجيع الادخار لتعزيز الشمول المالي</w:t>
      </w:r>
      <w:r w:rsidR="003D51C5" w:rsidRPr="008A4D32">
        <w:rPr>
          <w:rFonts w:asciiTheme="majorBidi" w:hAnsiTheme="majorBidi" w:cstheme="majorBidi"/>
          <w:sz w:val="28"/>
          <w:szCs w:val="28"/>
          <w:rtl/>
          <w:lang w:bidi="ar-AE"/>
        </w:rPr>
        <w:t>"</w:t>
      </w:r>
      <w:r w:rsidR="003D51C5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. </w:t>
      </w:r>
      <w:r w:rsidR="00CA048B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في هذا السياق، </w:t>
      </w:r>
      <w:r w:rsidR="00021AE2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من المهم</w:t>
      </w:r>
      <w:r w:rsidR="00C35990" w:rsidRPr="008A4D32">
        <w:rPr>
          <w:rFonts w:asciiTheme="majorBidi" w:hAnsiTheme="majorBidi"/>
          <w:sz w:val="28"/>
          <w:szCs w:val="28"/>
          <w:rtl/>
        </w:rPr>
        <w:t xml:space="preserve"> </w:t>
      </w:r>
      <w:r w:rsidR="00D64024">
        <w:rPr>
          <w:rFonts w:asciiTheme="majorBidi" w:hAnsiTheme="majorBidi" w:hint="cs"/>
          <w:sz w:val="28"/>
          <w:szCs w:val="28"/>
          <w:rtl/>
        </w:rPr>
        <w:t xml:space="preserve">قيام السلطات الرقابية بوضع </w:t>
      </w:r>
      <w:r w:rsidR="00FC40D2">
        <w:rPr>
          <w:rFonts w:asciiTheme="majorBidi" w:hAnsiTheme="majorBidi" w:hint="cs"/>
          <w:sz w:val="28"/>
          <w:szCs w:val="28"/>
          <w:rtl/>
        </w:rPr>
        <w:t>أ</w:t>
      </w:r>
      <w:r w:rsidR="00D64024">
        <w:rPr>
          <w:rFonts w:asciiTheme="majorBidi" w:hAnsiTheme="majorBidi" w:hint="cs"/>
          <w:sz w:val="28"/>
          <w:szCs w:val="28"/>
          <w:rtl/>
        </w:rPr>
        <w:t>طر رقابية توفر العدالة والحماية للمدخر المالي بما يعزز الادخار، و</w:t>
      </w:r>
      <w:r w:rsidR="00935611" w:rsidRPr="008A4D32">
        <w:rPr>
          <w:rFonts w:asciiTheme="majorBidi" w:hAnsiTheme="majorBidi" w:hint="cs"/>
          <w:sz w:val="28"/>
          <w:szCs w:val="28"/>
          <w:rtl/>
        </w:rPr>
        <w:t>مبادرة</w:t>
      </w:r>
      <w:r w:rsidR="00C35990" w:rsidRPr="008A4D32">
        <w:rPr>
          <w:rFonts w:asciiTheme="majorBidi" w:hAnsiTheme="majorBidi"/>
          <w:sz w:val="28"/>
          <w:szCs w:val="28"/>
          <w:rtl/>
        </w:rPr>
        <w:t xml:space="preserve"> القطاع المالي</w:t>
      </w:r>
      <w:r w:rsidR="00764CD7" w:rsidRPr="008A4D32">
        <w:rPr>
          <w:rFonts w:asciiTheme="majorBidi" w:hAnsiTheme="majorBidi" w:hint="cs"/>
          <w:sz w:val="28"/>
          <w:szCs w:val="28"/>
          <w:rtl/>
        </w:rPr>
        <w:t xml:space="preserve"> والمصرفي</w:t>
      </w:r>
      <w:r w:rsidR="00040744">
        <w:rPr>
          <w:rFonts w:asciiTheme="majorBidi" w:hAnsiTheme="majorBidi" w:hint="cs"/>
          <w:sz w:val="28"/>
          <w:szCs w:val="28"/>
          <w:rtl/>
        </w:rPr>
        <w:t xml:space="preserve"> ب</w:t>
      </w:r>
      <w:r w:rsidR="00040744" w:rsidRPr="00040744">
        <w:rPr>
          <w:rFonts w:asciiTheme="majorBidi" w:hAnsiTheme="majorBidi"/>
          <w:sz w:val="28"/>
          <w:szCs w:val="28"/>
          <w:rtl/>
        </w:rPr>
        <w:t>تعزيز ثقافة الادخار والتوعية بأهميته في رفد الاستقلالية المالية للأفراد</w:t>
      </w:r>
      <w:r w:rsidR="00D64024">
        <w:rPr>
          <w:rFonts w:asciiTheme="majorBidi" w:hAnsiTheme="majorBidi" w:hint="cs"/>
          <w:sz w:val="28"/>
          <w:szCs w:val="28"/>
          <w:rtl/>
          <w:lang w:bidi="ar-AE"/>
        </w:rPr>
        <w:t>،</w:t>
      </w:r>
      <w:r w:rsidR="00040744">
        <w:rPr>
          <w:rFonts w:asciiTheme="majorBidi" w:hAnsiTheme="majorBidi" w:hint="cs"/>
          <w:sz w:val="28"/>
          <w:szCs w:val="28"/>
          <w:rtl/>
        </w:rPr>
        <w:t xml:space="preserve"> و</w:t>
      </w:r>
      <w:r w:rsidR="00040744" w:rsidRPr="00040744">
        <w:rPr>
          <w:rFonts w:asciiTheme="majorBidi" w:hAnsiTheme="majorBidi"/>
          <w:sz w:val="28"/>
          <w:szCs w:val="28"/>
          <w:rtl/>
        </w:rPr>
        <w:t xml:space="preserve">تطوير منتجات مالية مبتكرة تناسب احتياجات </w:t>
      </w:r>
      <w:r w:rsidR="00040744">
        <w:rPr>
          <w:rFonts w:asciiTheme="majorBidi" w:hAnsiTheme="majorBidi" w:hint="cs"/>
          <w:sz w:val="28"/>
          <w:szCs w:val="28"/>
          <w:rtl/>
        </w:rPr>
        <w:t>كل فئات المجتمع</w:t>
      </w:r>
      <w:r w:rsidR="00040744" w:rsidRPr="00040744">
        <w:rPr>
          <w:rFonts w:asciiTheme="majorBidi" w:hAnsiTheme="majorBidi"/>
          <w:sz w:val="28"/>
          <w:szCs w:val="28"/>
          <w:rtl/>
        </w:rPr>
        <w:t xml:space="preserve"> وتشجعهم على الادخار</w:t>
      </w:r>
      <w:r w:rsidR="00430DD9"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.</w:t>
      </w:r>
    </w:p>
    <w:p w14:paraId="20B7DF4A" w14:textId="3DAAB322" w:rsidR="00D64024" w:rsidRPr="008A4D32" w:rsidRDefault="00D64024" w:rsidP="00D64024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spacing w:val="-6"/>
          <w:sz w:val="28"/>
          <w:szCs w:val="28"/>
          <w:lang w:bidi="ar-AE"/>
        </w:rPr>
      </w:pPr>
      <w:r>
        <w:rPr>
          <w:rFonts w:asciiTheme="majorBidi" w:hAnsiTheme="majorBidi" w:hint="cs"/>
          <w:spacing w:val="-6"/>
          <w:sz w:val="28"/>
          <w:szCs w:val="28"/>
          <w:rtl/>
          <w:lang w:bidi="ar-AE"/>
        </w:rPr>
        <w:t xml:space="preserve">تشير </w:t>
      </w:r>
      <w:r w:rsidRPr="008A4D32">
        <w:rPr>
          <w:rFonts w:asciiTheme="majorBidi" w:hAnsiTheme="majorBidi"/>
          <w:spacing w:val="-6"/>
          <w:sz w:val="28"/>
          <w:szCs w:val="28"/>
          <w:rtl/>
          <w:lang w:bidi="ar-AE"/>
        </w:rPr>
        <w:t xml:space="preserve">إحصاءات البنك الدولي لعام 2021 </w:t>
      </w:r>
      <w:r>
        <w:rPr>
          <w:rFonts w:asciiTheme="majorBidi" w:hAnsiTheme="majorBidi" w:hint="cs"/>
          <w:spacing w:val="-6"/>
          <w:sz w:val="28"/>
          <w:szCs w:val="28"/>
          <w:rtl/>
          <w:lang w:bidi="ar-AE"/>
        </w:rPr>
        <w:t xml:space="preserve">إلى 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أن نسبة السكان البالغين في 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>المنطقة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العربية الذين 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>يدخرون في المؤسسات المالية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الرسمية قد ارتفعت في المتوسط 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>من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>6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في المائة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في عام 2011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>إلى 10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في المائة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في عام 2021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. على الرغم من التقدم المحرز، لا تزال الفرص كبيرة، خاصة للمؤسسات المالية والمصرفية، لتحسين الوصول </w:t>
      </w:r>
      <w:r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>للمنتجات الادخارية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 xml:space="preserve"> في المجتمعات العربية و</w:t>
      </w:r>
      <w:r w:rsidRPr="008A4D32">
        <w:rPr>
          <w:rFonts w:asciiTheme="majorBidi" w:hAnsiTheme="majorBidi"/>
          <w:spacing w:val="-6"/>
          <w:sz w:val="28"/>
          <w:szCs w:val="28"/>
          <w:rtl/>
          <w:lang w:bidi="ar-AE"/>
        </w:rPr>
        <w:t xml:space="preserve">استهداف الفئات </w:t>
      </w:r>
      <w:r>
        <w:rPr>
          <w:rFonts w:asciiTheme="majorBidi" w:hAnsiTheme="majorBidi" w:hint="cs"/>
          <w:spacing w:val="-6"/>
          <w:sz w:val="28"/>
          <w:szCs w:val="28"/>
          <w:rtl/>
          <w:lang w:bidi="ar-AE"/>
        </w:rPr>
        <w:t>المحرومة والمناطق الواعدة</w:t>
      </w:r>
      <w:r w:rsidRPr="008A4D32">
        <w:rPr>
          <w:rFonts w:asciiTheme="majorBidi" w:hAnsiTheme="majorBidi" w:hint="cs"/>
          <w:spacing w:val="-6"/>
          <w:sz w:val="28"/>
          <w:szCs w:val="28"/>
          <w:rtl/>
          <w:lang w:bidi="ar-AE"/>
        </w:rPr>
        <w:t xml:space="preserve">، </w:t>
      </w:r>
      <w:r w:rsidRPr="008A4D32">
        <w:rPr>
          <w:rFonts w:asciiTheme="majorBidi" w:hAnsiTheme="majorBidi"/>
          <w:spacing w:val="-6"/>
          <w:sz w:val="28"/>
          <w:szCs w:val="28"/>
          <w:rtl/>
          <w:lang w:bidi="ar-AE"/>
        </w:rPr>
        <w:t xml:space="preserve">من خلال </w:t>
      </w:r>
      <w:r w:rsidRPr="008A4D32">
        <w:rPr>
          <w:rFonts w:asciiTheme="majorBidi" w:hAnsiTheme="majorBidi" w:hint="cs"/>
          <w:spacing w:val="-6"/>
          <w:sz w:val="28"/>
          <w:szCs w:val="28"/>
          <w:rtl/>
          <w:lang w:bidi="ar-AE"/>
        </w:rPr>
        <w:t>تبني ال</w:t>
      </w:r>
      <w:r w:rsidRPr="008A4D32">
        <w:rPr>
          <w:rFonts w:asciiTheme="majorBidi" w:hAnsiTheme="majorBidi"/>
          <w:spacing w:val="-6"/>
          <w:sz w:val="28"/>
          <w:szCs w:val="28"/>
          <w:rtl/>
          <w:lang w:bidi="ar-AE"/>
        </w:rPr>
        <w:t xml:space="preserve">سياسات </w:t>
      </w:r>
      <w:r w:rsidRPr="008A4D32">
        <w:rPr>
          <w:rFonts w:asciiTheme="majorBidi" w:hAnsiTheme="majorBidi" w:hint="cs"/>
          <w:spacing w:val="-6"/>
          <w:sz w:val="28"/>
          <w:szCs w:val="28"/>
          <w:rtl/>
          <w:lang w:bidi="ar-AE"/>
        </w:rPr>
        <w:t>المناسبة</w:t>
      </w:r>
      <w:r w:rsidRPr="008A4D32">
        <w:rPr>
          <w:rFonts w:asciiTheme="majorBidi" w:hAnsiTheme="majorBidi" w:cstheme="majorBidi" w:hint="cs"/>
          <w:spacing w:val="-6"/>
          <w:sz w:val="28"/>
          <w:szCs w:val="28"/>
          <w:rtl/>
          <w:lang w:bidi="ar-AE"/>
        </w:rPr>
        <w:t>.</w:t>
      </w:r>
    </w:p>
    <w:p w14:paraId="1FE71477" w14:textId="6320F3E6" w:rsidR="00934025" w:rsidRPr="008A4D32" w:rsidRDefault="00934025" w:rsidP="00D64024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eastAsiaTheme="minorHAnsi" w:hAnsiTheme="majorBidi"/>
          <w:sz w:val="28"/>
          <w:szCs w:val="28"/>
          <w:lang w:bidi="ar-AE"/>
        </w:rPr>
      </w:pPr>
    </w:p>
    <w:p w14:paraId="13F70422" w14:textId="4C2DAA3F" w:rsidR="00475455" w:rsidRPr="007A3D3D" w:rsidRDefault="00FC7569" w:rsidP="007A3D3D">
      <w:pPr>
        <w:pStyle w:val="ListParagraph"/>
        <w:tabs>
          <w:tab w:val="right" w:pos="270"/>
        </w:tabs>
        <w:bidi/>
        <w:spacing w:after="240" w:line="360" w:lineRule="auto"/>
        <w:ind w:left="-4"/>
        <w:contextualSpacing w:val="0"/>
        <w:jc w:val="both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يولي صندوق النقد العربي في إطار استراتيجيته، اهتماماً كبيراً </w:t>
      </w:r>
      <w:r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ب</w:t>
      </w:r>
      <w:r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تطوير القطاع المالي، </w:t>
      </w:r>
      <w:r w:rsidRPr="008A4D32">
        <w:rPr>
          <w:rFonts w:asciiTheme="majorBidi" w:hAnsiTheme="majorBidi" w:cs="Times New Roman"/>
          <w:sz w:val="28"/>
          <w:szCs w:val="28"/>
          <w:rtl/>
          <w:lang w:bidi="ar-AE"/>
        </w:rPr>
        <w:t xml:space="preserve">خاصة على صعيد </w:t>
      </w:r>
      <w:r w:rsidR="00AE3B57">
        <w:rPr>
          <w:rFonts w:asciiTheme="majorBidi" w:hAnsiTheme="majorBidi" w:cs="Times New Roman" w:hint="cs"/>
          <w:sz w:val="28"/>
          <w:szCs w:val="28"/>
          <w:rtl/>
          <w:lang w:bidi="ar-AE"/>
        </w:rPr>
        <w:t>تعزيز الشمول المالي</w:t>
      </w:r>
      <w:r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، بهدف تحقيق التنمية </w:t>
      </w:r>
      <w:r w:rsidRPr="008A4D32">
        <w:rPr>
          <w:rFonts w:asciiTheme="majorBidi" w:hAnsiTheme="majorBidi" w:cstheme="majorBidi" w:hint="cs"/>
          <w:sz w:val="28"/>
          <w:szCs w:val="28"/>
          <w:rtl/>
          <w:lang w:bidi="ar-AE"/>
        </w:rPr>
        <w:t>الشاملة و</w:t>
      </w:r>
      <w:r w:rsidRPr="008A4D32">
        <w:rPr>
          <w:rFonts w:asciiTheme="majorBidi" w:hAnsiTheme="majorBidi" w:cstheme="majorBidi"/>
          <w:sz w:val="28"/>
          <w:szCs w:val="28"/>
          <w:rtl/>
          <w:lang w:bidi="ar-AE"/>
        </w:rPr>
        <w:t xml:space="preserve">المستدامة والاستقرار المالي في الدول العربية. </w:t>
      </w:r>
      <w:r w:rsidR="00414836" w:rsidRPr="008A4D32">
        <w:rPr>
          <w:rFonts w:asciiTheme="majorBidi" w:hAnsiTheme="majorBidi" w:cs="Times New Roman"/>
          <w:sz w:val="28"/>
          <w:szCs w:val="28"/>
          <w:rtl/>
          <w:lang w:bidi="ar-AE"/>
        </w:rPr>
        <w:t xml:space="preserve">في هذا الصدد، </w:t>
      </w:r>
      <w:r w:rsidR="00AE3B57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يعمل الصندوق بالتعاون مع </w:t>
      </w:r>
      <w:r w:rsidR="00414836" w:rsidRPr="008A4D32">
        <w:rPr>
          <w:rFonts w:asciiTheme="majorBidi" w:hAnsiTheme="majorBidi" w:cs="Times New Roman"/>
          <w:sz w:val="28"/>
          <w:szCs w:val="28"/>
          <w:rtl/>
          <w:lang w:bidi="ar-AE"/>
        </w:rPr>
        <w:t xml:space="preserve">المصارف المركزية العربية </w:t>
      </w:r>
      <w:r w:rsidR="00AE3B57">
        <w:rPr>
          <w:rFonts w:asciiTheme="majorBidi" w:hAnsiTheme="majorBidi" w:cs="Times New Roman" w:hint="cs"/>
          <w:sz w:val="28"/>
          <w:szCs w:val="28"/>
          <w:rtl/>
          <w:lang w:bidi="ar-AE"/>
        </w:rPr>
        <w:t>على ا</w:t>
      </w:r>
      <w:r w:rsidR="00AE3B57" w:rsidRPr="00AE3B57">
        <w:rPr>
          <w:rFonts w:asciiTheme="majorBidi" w:hAnsiTheme="majorBidi" w:cs="Times New Roman"/>
          <w:sz w:val="28"/>
          <w:szCs w:val="28"/>
          <w:rtl/>
          <w:lang w:bidi="ar-AE"/>
        </w:rPr>
        <w:t xml:space="preserve">لوقوف على </w:t>
      </w:r>
      <w:r w:rsidR="00556EAE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العراقيل </w:t>
      </w:r>
      <w:r w:rsidR="00AE3B57" w:rsidRPr="00AE3B57">
        <w:rPr>
          <w:rFonts w:asciiTheme="majorBidi" w:hAnsiTheme="majorBidi" w:cs="Times New Roman"/>
          <w:sz w:val="28"/>
          <w:szCs w:val="28"/>
          <w:rtl/>
          <w:lang w:bidi="ar-AE"/>
        </w:rPr>
        <w:t>والتحديات التي تحول دون تعزيز الادخار</w:t>
      </w:r>
      <w:r w:rsidR="00AE3B57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لدى كافة فئات المجتمع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،</w:t>
      </w:r>
      <w:r w:rsidR="00AE3B57" w:rsidRPr="00AE3B57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و</w:t>
      </w:r>
      <w:r w:rsidR="00615E80">
        <w:rPr>
          <w:rFonts w:asciiTheme="majorBidi" w:hAnsiTheme="majorBidi" w:cs="Times New Roman" w:hint="cs"/>
          <w:sz w:val="28"/>
          <w:szCs w:val="28"/>
          <w:rtl/>
          <w:lang w:bidi="ar-AE"/>
        </w:rPr>
        <w:t>يدعم</w:t>
      </w:r>
      <w:r w:rsidR="0047545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</w:t>
      </w:r>
      <w:r w:rsidR="00B661B4">
        <w:rPr>
          <w:rFonts w:asciiTheme="majorBidi" w:hAnsiTheme="majorBidi" w:cs="Times New Roman" w:hint="cs"/>
          <w:sz w:val="28"/>
          <w:szCs w:val="28"/>
          <w:rtl/>
          <w:lang w:bidi="ar-AE"/>
        </w:rPr>
        <w:t>تشجيع</w:t>
      </w:r>
      <w:r w:rsidR="0047545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</w:t>
      </w:r>
      <w:r w:rsidR="00475455" w:rsidRPr="00475455">
        <w:rPr>
          <w:rFonts w:asciiTheme="majorBidi" w:hAnsiTheme="majorBidi" w:cs="Times New Roman"/>
          <w:sz w:val="28"/>
          <w:szCs w:val="28"/>
          <w:rtl/>
          <w:lang w:bidi="ar-AE"/>
        </w:rPr>
        <w:t xml:space="preserve">تطوير منتجات وحسابات ادخارية توفر </w:t>
      </w:r>
      <w:r w:rsidR="00D64024">
        <w:rPr>
          <w:rFonts w:asciiTheme="majorBidi" w:hAnsiTheme="majorBidi" w:cs="Times New Roman" w:hint="cs"/>
          <w:sz w:val="28"/>
          <w:szCs w:val="28"/>
          <w:rtl/>
          <w:lang w:bidi="ar-AE"/>
        </w:rPr>
        <w:t>ع</w:t>
      </w:r>
      <w:r w:rsidR="00D64024" w:rsidRPr="00475455">
        <w:rPr>
          <w:rFonts w:asciiTheme="majorBidi" w:hAnsiTheme="majorBidi" w:cs="Times New Roman"/>
          <w:sz w:val="28"/>
          <w:szCs w:val="28"/>
          <w:rtl/>
          <w:lang w:bidi="ar-AE"/>
        </w:rPr>
        <w:t xml:space="preserve">وائد </w:t>
      </w:r>
      <w:r w:rsidR="00475455" w:rsidRPr="00475455">
        <w:rPr>
          <w:rFonts w:asciiTheme="majorBidi" w:hAnsiTheme="majorBidi" w:cs="Times New Roman"/>
          <w:sz w:val="28"/>
          <w:szCs w:val="28"/>
          <w:rtl/>
          <w:lang w:bidi="ar-AE"/>
        </w:rPr>
        <w:t>جذابة وتحفز هذه الفئات على الادخار</w:t>
      </w:r>
      <w:r w:rsidR="00475455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، إضافةً إلى </w:t>
      </w:r>
      <w:r w:rsidR="00475455" w:rsidRPr="00475455">
        <w:rPr>
          <w:rFonts w:asciiTheme="majorBidi" w:hAnsiTheme="majorBidi" w:cstheme="majorBidi"/>
          <w:sz w:val="28"/>
          <w:szCs w:val="28"/>
          <w:rtl/>
        </w:rPr>
        <w:t xml:space="preserve">تعزيز </w:t>
      </w:r>
      <w:r w:rsidR="00475455" w:rsidRPr="00475455">
        <w:rPr>
          <w:rFonts w:asciiTheme="majorBidi" w:hAnsiTheme="majorBidi" w:cstheme="majorBidi" w:hint="cs"/>
          <w:sz w:val="28"/>
          <w:szCs w:val="28"/>
          <w:rtl/>
        </w:rPr>
        <w:t xml:space="preserve">استخدام </w:t>
      </w:r>
      <w:r w:rsidR="00475455" w:rsidRPr="00475455">
        <w:rPr>
          <w:rFonts w:asciiTheme="majorBidi" w:hAnsiTheme="majorBidi" w:cstheme="majorBidi"/>
          <w:sz w:val="28"/>
          <w:szCs w:val="28"/>
          <w:rtl/>
        </w:rPr>
        <w:t>الت</w:t>
      </w:r>
      <w:r w:rsidR="00475455" w:rsidRPr="00475455">
        <w:rPr>
          <w:rFonts w:asciiTheme="majorBidi" w:hAnsiTheme="majorBidi" w:cstheme="majorBidi" w:hint="cs"/>
          <w:sz w:val="28"/>
          <w:szCs w:val="28"/>
          <w:rtl/>
        </w:rPr>
        <w:t>قنيات</w:t>
      </w:r>
      <w:r w:rsidR="00475455" w:rsidRPr="00475455">
        <w:rPr>
          <w:rFonts w:asciiTheme="majorBidi" w:hAnsiTheme="majorBidi" w:cstheme="majorBidi"/>
          <w:sz w:val="28"/>
          <w:szCs w:val="28"/>
          <w:rtl/>
        </w:rPr>
        <w:t xml:space="preserve"> المالية</w:t>
      </w:r>
      <w:r w:rsidR="00475455" w:rsidRPr="00475455">
        <w:rPr>
          <w:rFonts w:asciiTheme="majorBidi" w:hAnsiTheme="majorBidi" w:cstheme="majorBidi" w:hint="cs"/>
          <w:sz w:val="28"/>
          <w:szCs w:val="28"/>
          <w:rtl/>
        </w:rPr>
        <w:t xml:space="preserve"> الحديثة</w:t>
      </w:r>
      <w:r w:rsidR="00475455" w:rsidRPr="00475455">
        <w:rPr>
          <w:rFonts w:asciiTheme="majorBidi" w:hAnsiTheme="majorBidi" w:cstheme="majorBidi"/>
          <w:sz w:val="28"/>
          <w:szCs w:val="28"/>
          <w:rtl/>
        </w:rPr>
        <w:t xml:space="preserve"> لتسهيل </w:t>
      </w:r>
      <w:r w:rsidR="00475455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475455" w:rsidRPr="00475455">
        <w:rPr>
          <w:rFonts w:asciiTheme="majorBidi" w:hAnsiTheme="majorBidi" w:cstheme="majorBidi"/>
          <w:sz w:val="28"/>
          <w:szCs w:val="28"/>
          <w:rtl/>
        </w:rPr>
        <w:t xml:space="preserve">وصول إلى </w:t>
      </w:r>
      <w:r w:rsidR="00475455" w:rsidRPr="00475455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475455" w:rsidRPr="00475455">
        <w:rPr>
          <w:rFonts w:asciiTheme="majorBidi" w:hAnsiTheme="majorBidi" w:cstheme="majorBidi"/>
          <w:sz w:val="28"/>
          <w:szCs w:val="28"/>
          <w:rtl/>
        </w:rPr>
        <w:t>حسابات ا</w:t>
      </w:r>
      <w:r w:rsidR="00475455" w:rsidRPr="00475455">
        <w:rPr>
          <w:rFonts w:asciiTheme="majorBidi" w:hAnsiTheme="majorBidi" w:cstheme="majorBidi" w:hint="cs"/>
          <w:sz w:val="28"/>
          <w:szCs w:val="28"/>
          <w:rtl/>
        </w:rPr>
        <w:t>لا</w:t>
      </w:r>
      <w:r w:rsidR="00475455" w:rsidRPr="00475455">
        <w:rPr>
          <w:rFonts w:asciiTheme="majorBidi" w:hAnsiTheme="majorBidi" w:cstheme="majorBidi"/>
          <w:sz w:val="28"/>
          <w:szCs w:val="28"/>
          <w:rtl/>
        </w:rPr>
        <w:t>دخارية</w:t>
      </w:r>
      <w:r w:rsidR="00475455">
        <w:rPr>
          <w:rFonts w:asciiTheme="majorBidi" w:hAnsiTheme="majorBidi" w:cstheme="majorBidi" w:hint="cs"/>
          <w:sz w:val="28"/>
          <w:szCs w:val="28"/>
          <w:rtl/>
        </w:rPr>
        <w:t>.</w:t>
      </w:r>
      <w:r w:rsidR="00A1558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كما تعمل المصارف المركزية </w:t>
      </w:r>
      <w:r w:rsidR="00FC40D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العربية </w:t>
      </w:r>
      <w:r w:rsidR="00A1558A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على </w:t>
      </w:r>
      <w:r w:rsidR="00475455" w:rsidRPr="007A3D3D">
        <w:rPr>
          <w:rFonts w:asciiTheme="majorBidi" w:hAnsiTheme="majorBidi" w:cs="Times New Roman"/>
          <w:sz w:val="28"/>
          <w:szCs w:val="28"/>
          <w:rtl/>
          <w:lang w:bidi="ar-AE"/>
        </w:rPr>
        <w:t>إ</w:t>
      </w:r>
      <w:r w:rsidR="00A1558A" w:rsidRPr="007A3D3D">
        <w:rPr>
          <w:rFonts w:asciiTheme="majorBidi" w:hAnsiTheme="majorBidi" w:cs="Times New Roman" w:hint="cs"/>
          <w:sz w:val="28"/>
          <w:szCs w:val="28"/>
          <w:rtl/>
          <w:lang w:bidi="ar-AE"/>
        </w:rPr>
        <w:t>صدار القوانين واللوائح</w:t>
      </w:r>
      <w:r w:rsidR="00475455" w:rsidRPr="007A3D3D">
        <w:rPr>
          <w:rFonts w:asciiTheme="majorBidi" w:hAnsiTheme="majorBidi" w:cs="Times New Roman"/>
          <w:sz w:val="28"/>
          <w:szCs w:val="28"/>
          <w:rtl/>
          <w:lang w:bidi="ar-AE"/>
        </w:rPr>
        <w:t xml:space="preserve"> </w:t>
      </w:r>
      <w:r w:rsidR="00A1558A" w:rsidRPr="007A3D3D">
        <w:rPr>
          <w:rFonts w:asciiTheme="majorBidi" w:hAnsiTheme="majorBidi" w:cs="Times New Roman" w:hint="cs"/>
          <w:sz w:val="28"/>
          <w:szCs w:val="28"/>
          <w:rtl/>
          <w:lang w:bidi="ar-AE"/>
        </w:rPr>
        <w:t>التي</w:t>
      </w:r>
      <w:r w:rsidR="00475455" w:rsidRPr="007A3D3D">
        <w:rPr>
          <w:rFonts w:asciiTheme="majorBidi" w:hAnsiTheme="majorBidi" w:cs="Times New Roman"/>
          <w:sz w:val="28"/>
          <w:szCs w:val="28"/>
          <w:rtl/>
          <w:lang w:bidi="ar-AE"/>
        </w:rPr>
        <w:t xml:space="preserve"> تعزز العدالة والشفافية في المنتجات الادخارية</w:t>
      </w:r>
      <w:r w:rsidR="007A3D3D" w:rsidRPr="007A3D3D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و</w:t>
      </w:r>
      <w:r w:rsidR="00475455" w:rsidRPr="007A3D3D">
        <w:rPr>
          <w:rFonts w:asciiTheme="majorBidi" w:hAnsiTheme="majorBidi" w:cs="Times New Roman"/>
          <w:sz w:val="28"/>
          <w:szCs w:val="28"/>
          <w:rtl/>
          <w:lang w:bidi="ar-AE"/>
        </w:rPr>
        <w:t>ت</w:t>
      </w:r>
      <w:r w:rsidR="00FC40D2">
        <w:rPr>
          <w:rFonts w:asciiTheme="majorBidi" w:hAnsiTheme="majorBidi" w:cs="Times New Roman" w:hint="cs"/>
          <w:sz w:val="28"/>
          <w:szCs w:val="28"/>
          <w:rtl/>
          <w:lang w:bidi="ar-AE"/>
        </w:rPr>
        <w:t>َ</w:t>
      </w:r>
      <w:r w:rsidR="00475455" w:rsidRPr="007A3D3D">
        <w:rPr>
          <w:rFonts w:asciiTheme="majorBidi" w:hAnsiTheme="majorBidi" w:cs="Times New Roman"/>
          <w:sz w:val="28"/>
          <w:szCs w:val="28"/>
          <w:rtl/>
          <w:lang w:bidi="ar-AE"/>
        </w:rPr>
        <w:t>عام</w:t>
      </w:r>
      <w:r w:rsidR="00D35610">
        <w:rPr>
          <w:rFonts w:asciiTheme="majorBidi" w:hAnsiTheme="majorBidi" w:cs="Times New Roman" w:hint="cs"/>
          <w:sz w:val="28"/>
          <w:szCs w:val="28"/>
          <w:rtl/>
          <w:lang w:bidi="ar-AE"/>
        </w:rPr>
        <w:t>ُ</w:t>
      </w:r>
      <w:r w:rsidR="00475455" w:rsidRPr="007A3D3D">
        <w:rPr>
          <w:rFonts w:asciiTheme="majorBidi" w:hAnsiTheme="majorBidi" w:cs="Times New Roman"/>
          <w:sz w:val="28"/>
          <w:szCs w:val="28"/>
          <w:rtl/>
          <w:lang w:bidi="ar-AE"/>
        </w:rPr>
        <w:t>ل المؤسسات المالية</w:t>
      </w:r>
      <w:r w:rsidR="00556EAE">
        <w:rPr>
          <w:rFonts w:asciiTheme="majorBidi" w:hAnsiTheme="majorBidi" w:cs="Times New Roman" w:hint="cs"/>
          <w:sz w:val="28"/>
          <w:szCs w:val="28"/>
          <w:rtl/>
          <w:lang w:bidi="ar-AE"/>
        </w:rPr>
        <w:t xml:space="preserve"> مع </w:t>
      </w:r>
      <w:r w:rsidR="00556EAE" w:rsidRPr="007A3D3D">
        <w:rPr>
          <w:rFonts w:asciiTheme="majorBidi" w:hAnsiTheme="majorBidi" w:cs="Times New Roman"/>
          <w:sz w:val="28"/>
          <w:szCs w:val="28"/>
          <w:rtl/>
          <w:lang w:bidi="ar-AE"/>
        </w:rPr>
        <w:t>الأفراد المدخرين</w:t>
      </w:r>
      <w:r w:rsidR="007A3D3D">
        <w:rPr>
          <w:rFonts w:asciiTheme="majorBidi" w:hAnsiTheme="majorBidi" w:cs="Times New Roman" w:hint="cs"/>
          <w:sz w:val="28"/>
          <w:szCs w:val="28"/>
          <w:rtl/>
          <w:lang w:bidi="ar-AE"/>
        </w:rPr>
        <w:t>.</w:t>
      </w:r>
    </w:p>
    <w:p w14:paraId="0696B7DC" w14:textId="3F9D24B6" w:rsidR="00916B97" w:rsidRDefault="001B3DF1" w:rsidP="00FC4606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 xml:space="preserve">في هذه المناسبة، أكد </w:t>
      </w:r>
      <w:r w:rsidR="001A1CB3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>سعادة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 xml:space="preserve"> </w:t>
      </w:r>
      <w:r w:rsidR="00586424"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 xml:space="preserve">الدكتور </w:t>
      </w:r>
      <w:r w:rsidR="001A1CB3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>فهد بن محمد التركي</w:t>
      </w:r>
      <w:r w:rsidR="00586424"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 xml:space="preserve"> 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 xml:space="preserve">المدير العام رئيس مجلس إدارة صندوق النقد العربي على 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أهمية ودور الشمول المالي في مواجهة التحديات الاقتصادية التي تؤثر على النمو</w:t>
      </w:r>
      <w:r w:rsidR="009D3ACE"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 الاقتصادي</w:t>
      </w:r>
      <w:r w:rsidR="00615E80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 والتنمية الاقتصادية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،</w:t>
      </w:r>
      <w:r w:rsidRPr="008306F0">
        <w:rPr>
          <w:rFonts w:asciiTheme="majorBidi" w:eastAsiaTheme="minorHAnsi" w:hAnsiTheme="majorBidi" w:cstheme="majorBidi"/>
          <w:sz w:val="28"/>
          <w:szCs w:val="28"/>
          <w:rtl/>
          <w:lang w:bidi="ar-JO"/>
        </w:rPr>
        <w:t xml:space="preserve"> 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من خلال حشد الموارد </w:t>
      </w:r>
      <w:r w:rsidR="00927B0D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اللازمة 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لزيادة معدلات </w:t>
      </w:r>
      <w:r w:rsidR="0041483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الادخار و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الاستثمار و</w:t>
      </w:r>
      <w:r w:rsidRPr="008306F0">
        <w:rPr>
          <w:rFonts w:asciiTheme="majorBidi" w:eastAsiaTheme="minorHAnsi" w:hAnsiTheme="majorBidi" w:cstheme="majorBidi"/>
          <w:sz w:val="28"/>
          <w:szCs w:val="28"/>
          <w:rtl/>
          <w:lang w:bidi="ar-JO"/>
        </w:rPr>
        <w:t>خلق فرص عمل جديدة</w:t>
      </w:r>
      <w:r w:rsidRPr="008306F0">
        <w:rPr>
          <w:rFonts w:asciiTheme="majorBidi" w:eastAsiaTheme="minorHAnsi" w:hAnsiTheme="majorBidi" w:cstheme="majorBidi" w:hint="cs"/>
          <w:sz w:val="28"/>
          <w:szCs w:val="28"/>
          <w:rtl/>
          <w:lang w:bidi="ar-AE"/>
        </w:rPr>
        <w:t xml:space="preserve">. </w:t>
      </w:r>
      <w:r w:rsidRPr="008306F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كما نوه </w:t>
      </w:r>
      <w:r w:rsidR="001A1CB3">
        <w:rPr>
          <w:rFonts w:asciiTheme="majorBidi" w:hAnsiTheme="majorBidi" w:cstheme="majorBidi" w:hint="cs"/>
          <w:sz w:val="28"/>
          <w:szCs w:val="28"/>
          <w:rtl/>
          <w:lang w:bidi="ar-AE"/>
        </w:rPr>
        <w:t>سعادته</w:t>
      </w:r>
      <w:r w:rsidRPr="008306F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ب</w:t>
      </w:r>
      <w:r w:rsidRPr="008306F0">
        <w:rPr>
          <w:rFonts w:asciiTheme="majorBidi" w:hAnsiTheme="majorBidi" w:cstheme="majorBidi"/>
          <w:sz w:val="28"/>
          <w:szCs w:val="28"/>
          <w:rtl/>
          <w:lang w:bidi="ar-AE"/>
        </w:rPr>
        <w:t xml:space="preserve">جهود </w:t>
      </w:r>
      <w:r w:rsidRPr="008306F0">
        <w:rPr>
          <w:rFonts w:asciiTheme="majorBidi" w:hAnsiTheme="majorBidi" w:cstheme="majorBidi" w:hint="cs"/>
          <w:sz w:val="28"/>
          <w:szCs w:val="28"/>
          <w:rtl/>
          <w:lang w:bidi="ar-AE"/>
        </w:rPr>
        <w:t>المصارف المركزية العربية</w:t>
      </w:r>
      <w:r w:rsidR="001A1CB3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في</w:t>
      </w:r>
      <w:r w:rsidRPr="008306F0">
        <w:rPr>
          <w:rFonts w:asciiTheme="majorBidi" w:hAnsiTheme="majorBidi" w:cstheme="majorBidi"/>
          <w:sz w:val="28"/>
          <w:szCs w:val="28"/>
          <w:rtl/>
          <w:lang w:bidi="ar-AE"/>
        </w:rPr>
        <w:t xml:space="preserve"> إيلاء </w:t>
      </w:r>
      <w:r w:rsidR="00E66E7A">
        <w:rPr>
          <w:rFonts w:asciiTheme="majorBidi" w:hAnsiTheme="majorBidi" w:cstheme="majorBidi" w:hint="cs"/>
          <w:sz w:val="28"/>
          <w:szCs w:val="28"/>
          <w:rtl/>
          <w:lang w:bidi="ar-AE"/>
        </w:rPr>
        <w:t>الأهمية اللازمة ل</w:t>
      </w:r>
      <w:r w:rsidRPr="008306F0">
        <w:rPr>
          <w:rFonts w:asciiTheme="majorBidi" w:hAnsiTheme="majorBidi" w:cstheme="majorBidi"/>
          <w:sz w:val="28"/>
          <w:szCs w:val="28"/>
          <w:rtl/>
          <w:lang w:bidi="ar-AE"/>
        </w:rPr>
        <w:t xml:space="preserve">قضايا </w:t>
      </w:r>
      <w:r w:rsidR="001A1CB3">
        <w:rPr>
          <w:rFonts w:asciiTheme="majorBidi" w:hAnsiTheme="majorBidi" w:cstheme="majorBidi" w:hint="cs"/>
          <w:sz w:val="28"/>
          <w:szCs w:val="28"/>
          <w:rtl/>
          <w:lang w:bidi="ar-AE"/>
        </w:rPr>
        <w:t>تعزيز</w:t>
      </w:r>
      <w:r w:rsidRPr="008306F0">
        <w:rPr>
          <w:rFonts w:asciiTheme="majorBidi" w:hAnsiTheme="majorBidi" w:cstheme="majorBidi"/>
          <w:sz w:val="28"/>
          <w:szCs w:val="28"/>
          <w:rtl/>
          <w:lang w:bidi="ar-AE"/>
        </w:rPr>
        <w:t xml:space="preserve"> الشمول المالي في إطار السياسات الاقتصادية المتخذة</w:t>
      </w:r>
      <w:r w:rsidRPr="008306F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، </w:t>
      </w:r>
      <w:bookmarkStart w:id="2" w:name="_Hlk104195526"/>
      <w:r w:rsidRPr="008306F0">
        <w:rPr>
          <w:rFonts w:asciiTheme="majorBidi" w:hAnsiTheme="majorBidi" w:cstheme="majorBidi" w:hint="cs"/>
          <w:sz w:val="28"/>
          <w:szCs w:val="28"/>
          <w:rtl/>
          <w:lang w:bidi="ar-AE"/>
        </w:rPr>
        <w:t>و</w:t>
      </w:r>
      <w:r w:rsidR="00615E8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دعمهم </w:t>
      </w:r>
      <w:r w:rsidRPr="008306F0">
        <w:rPr>
          <w:rFonts w:asciiTheme="majorBidi" w:hAnsiTheme="majorBidi" w:cstheme="majorBidi" w:hint="cs"/>
          <w:sz w:val="28"/>
          <w:szCs w:val="28"/>
          <w:rtl/>
          <w:lang w:bidi="ar-AE"/>
        </w:rPr>
        <w:t>الاستفادة من التقنيات المالية الحديثة في تقديم الخدمات المالية</w:t>
      </w:r>
      <w:r w:rsidR="00697A08">
        <w:rPr>
          <w:rFonts w:asciiTheme="majorBidi" w:hAnsiTheme="majorBidi" w:cstheme="majorBidi" w:hint="cs"/>
          <w:sz w:val="28"/>
          <w:szCs w:val="28"/>
          <w:rtl/>
          <w:lang w:bidi="ar-AE"/>
        </w:rPr>
        <w:t>.</w:t>
      </w:r>
      <w:r w:rsidRPr="008306F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bookmarkEnd w:id="2"/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>أخيراً</w:t>
      </w:r>
      <w:r w:rsidR="000C0CC6">
        <w:rPr>
          <w:rFonts w:asciiTheme="majorBidi" w:hAnsiTheme="majorBidi" w:cstheme="majorBidi" w:hint="cs"/>
          <w:sz w:val="28"/>
          <w:szCs w:val="28"/>
          <w:rtl/>
          <w:lang w:bidi="ar-AE"/>
        </w:rPr>
        <w:t>،</w:t>
      </w:r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شكر </w:t>
      </w:r>
      <w:r w:rsidR="001A1CB3">
        <w:rPr>
          <w:rFonts w:asciiTheme="majorBidi" w:hAnsiTheme="majorBidi" w:cstheme="majorBidi" w:hint="cs"/>
          <w:sz w:val="28"/>
          <w:szCs w:val="28"/>
          <w:rtl/>
          <w:lang w:bidi="ar-AE"/>
        </w:rPr>
        <w:t>سعادته</w:t>
      </w:r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0078A9">
        <w:rPr>
          <w:rFonts w:asciiTheme="majorBidi" w:hAnsiTheme="majorBidi" w:cstheme="majorBidi" w:hint="cs"/>
          <w:sz w:val="28"/>
          <w:szCs w:val="28"/>
          <w:rtl/>
          <w:lang w:bidi="ar-AE"/>
        </w:rPr>
        <w:t>المصارف</w:t>
      </w:r>
      <w:r w:rsidR="00B02041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المركزية</w:t>
      </w:r>
      <w:r w:rsidR="001A1CB3">
        <w:rPr>
          <w:rFonts w:asciiTheme="majorBidi" w:hAnsiTheme="majorBidi" w:cstheme="majorBidi" w:hint="cs"/>
          <w:sz w:val="28"/>
          <w:szCs w:val="28"/>
          <w:rtl/>
          <w:lang w:bidi="ar-AE"/>
        </w:rPr>
        <w:t>،</w:t>
      </w:r>
      <w:r w:rsidR="00B02041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و</w:t>
      </w:r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>المؤسسات المالية والمصرفية</w:t>
      </w:r>
      <w:r w:rsidR="001A1CB3">
        <w:rPr>
          <w:rFonts w:asciiTheme="majorBidi" w:hAnsiTheme="majorBidi" w:cstheme="majorBidi" w:hint="cs"/>
          <w:sz w:val="28"/>
          <w:szCs w:val="28"/>
          <w:rtl/>
          <w:lang w:bidi="ar-AE"/>
        </w:rPr>
        <w:t>،</w:t>
      </w:r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201674">
        <w:rPr>
          <w:rFonts w:asciiTheme="majorBidi" w:hAnsiTheme="majorBidi" w:cstheme="majorBidi" w:hint="cs"/>
          <w:sz w:val="28"/>
          <w:szCs w:val="28"/>
          <w:rtl/>
          <w:lang w:bidi="ar-AE"/>
        </w:rPr>
        <w:t>واتحادات</w:t>
      </w:r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وجمعيات البنوك في الدول العربية على جهودهم في إطلاق أنشطة </w:t>
      </w:r>
      <w:r w:rsidR="005E2EF2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وفعاليات </w:t>
      </w:r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>بمناسب</w:t>
      </w:r>
      <w:r w:rsidR="000C0CC6">
        <w:rPr>
          <w:rFonts w:asciiTheme="majorBidi" w:hAnsiTheme="majorBidi" w:cstheme="majorBidi" w:hint="cs"/>
          <w:sz w:val="28"/>
          <w:szCs w:val="28"/>
          <w:rtl/>
          <w:lang w:bidi="ar-AE"/>
        </w:rPr>
        <w:t>ة</w:t>
      </w:r>
      <w:r w:rsidR="0058642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اليوم </w:t>
      </w:r>
      <w:r w:rsidR="006B71D1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العربي للشمول المالي، وما تمثله من أهمية في تحقيق الغرض المرجو من </w:t>
      </w:r>
      <w:r w:rsidR="000C0CC6">
        <w:rPr>
          <w:rFonts w:asciiTheme="majorBidi" w:hAnsiTheme="majorBidi" w:cstheme="majorBidi" w:hint="cs"/>
          <w:sz w:val="28"/>
          <w:szCs w:val="28"/>
          <w:rtl/>
          <w:lang w:bidi="ar-AE"/>
        </w:rPr>
        <w:t>هذه ال</w:t>
      </w:r>
      <w:r w:rsidR="006B71D1">
        <w:rPr>
          <w:rFonts w:asciiTheme="majorBidi" w:hAnsiTheme="majorBidi" w:cstheme="majorBidi" w:hint="cs"/>
          <w:sz w:val="28"/>
          <w:szCs w:val="28"/>
          <w:rtl/>
          <w:lang w:bidi="ar-AE"/>
        </w:rPr>
        <w:t>مناسبة.</w:t>
      </w:r>
    </w:p>
    <w:p w14:paraId="523788E6" w14:textId="378BB580" w:rsidR="00414836" w:rsidRDefault="00414836" w:rsidP="00414836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AE"/>
        </w:rPr>
      </w:pPr>
    </w:p>
    <w:p w14:paraId="05BEB018" w14:textId="7F762BDB" w:rsidR="00414836" w:rsidRDefault="00414836" w:rsidP="00414836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AE"/>
        </w:rPr>
      </w:pPr>
    </w:p>
    <w:p w14:paraId="1533D795" w14:textId="77777777" w:rsidR="00414836" w:rsidRDefault="00414836" w:rsidP="00414836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AE"/>
        </w:rPr>
      </w:pPr>
    </w:p>
    <w:p w14:paraId="2B18F0BB" w14:textId="77777777" w:rsidR="005A1189" w:rsidRDefault="005A1189" w:rsidP="005A1189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AE"/>
        </w:rPr>
      </w:pPr>
    </w:p>
    <w:p w14:paraId="13125B3C" w14:textId="3453C8B2" w:rsidR="00201674" w:rsidRPr="005A1189" w:rsidRDefault="00201674" w:rsidP="000078A9">
      <w:pPr>
        <w:pStyle w:val="rtejustify"/>
        <w:bidi/>
        <w:spacing w:before="0" w:beforeAutospacing="0" w:after="240" w:afterAutospacing="0" w:line="360" w:lineRule="auto"/>
        <w:jc w:val="both"/>
        <w:rPr>
          <w:rFonts w:asciiTheme="majorBidi" w:hAnsiTheme="majorBidi" w:cstheme="majorBidi"/>
          <w:sz w:val="16"/>
          <w:szCs w:val="16"/>
          <w:rtl/>
          <w:lang w:bidi="ar-AE"/>
        </w:rPr>
      </w:pPr>
      <w:r w:rsidRPr="005A1189">
        <w:rPr>
          <w:rFonts w:asciiTheme="majorBidi" w:hAnsiTheme="majorBidi" w:cstheme="majorBidi" w:hint="cs"/>
          <w:sz w:val="16"/>
          <w:szCs w:val="16"/>
          <w:rtl/>
          <w:lang w:bidi="ar-AE"/>
        </w:rPr>
        <w:t>ي ب / ج ج</w:t>
      </w:r>
    </w:p>
    <w:sectPr w:rsidR="00201674" w:rsidRPr="005A1189" w:rsidSect="009E6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354" w:right="1418" w:bottom="1134" w:left="1418" w:header="72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CDD9A" w14:textId="77777777" w:rsidR="00B61C84" w:rsidRDefault="00B61C84" w:rsidP="00460188">
      <w:pPr>
        <w:spacing w:after="0" w:line="240" w:lineRule="auto"/>
      </w:pPr>
      <w:r>
        <w:separator/>
      </w:r>
    </w:p>
  </w:endnote>
  <w:endnote w:type="continuationSeparator" w:id="0">
    <w:p w14:paraId="57C91B9F" w14:textId="77777777" w:rsidR="00B61C84" w:rsidRDefault="00B61C84" w:rsidP="0046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5AE7" w14:textId="77777777" w:rsidR="00B661B4" w:rsidRDefault="00B66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036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E938B" w14:textId="77777777" w:rsidR="00460188" w:rsidRDefault="00460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B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AEF066" w14:textId="77777777" w:rsidR="00460188" w:rsidRDefault="00460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85929" w14:textId="77777777" w:rsidR="00B661B4" w:rsidRDefault="00B66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7AE1" w14:textId="77777777" w:rsidR="00B61C84" w:rsidRDefault="00B61C84" w:rsidP="00460188">
      <w:pPr>
        <w:spacing w:after="0" w:line="240" w:lineRule="auto"/>
      </w:pPr>
      <w:r>
        <w:separator/>
      </w:r>
    </w:p>
  </w:footnote>
  <w:footnote w:type="continuationSeparator" w:id="0">
    <w:p w14:paraId="20C9E965" w14:textId="77777777" w:rsidR="00B61C84" w:rsidRDefault="00B61C84" w:rsidP="0046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84BFE" w14:textId="77777777" w:rsidR="00B661B4" w:rsidRDefault="00B66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EADC" w14:textId="1DBEC304" w:rsidR="003F50D2" w:rsidRDefault="00FA017F">
    <w:pPr>
      <w:pStyle w:val="Header"/>
    </w:pPr>
    <w:bookmarkStart w:id="3" w:name="_Hlk6904108"/>
    <w:bookmarkStart w:id="4" w:name="_Hlk6904109"/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7AB0E85" wp14:editId="5FE6819E">
          <wp:simplePos x="0" y="0"/>
          <wp:positionH relativeFrom="column">
            <wp:posOffset>6655</wp:posOffset>
          </wp:positionH>
          <wp:positionV relativeFrom="paragraph">
            <wp:posOffset>-171906</wp:posOffset>
          </wp:positionV>
          <wp:extent cx="1442085" cy="841248"/>
          <wp:effectExtent l="0" t="0" r="5715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136" cy="847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2BE61709" wp14:editId="2B5C97D2">
          <wp:simplePos x="0" y="0"/>
          <wp:positionH relativeFrom="column">
            <wp:posOffset>4424680</wp:posOffset>
          </wp:positionH>
          <wp:positionV relativeFrom="paragraph">
            <wp:posOffset>-172085</wp:posOffset>
          </wp:positionV>
          <wp:extent cx="1284605" cy="1009015"/>
          <wp:effectExtent l="0" t="0" r="0" b="635"/>
          <wp:wrapTight wrapText="bothSides">
            <wp:wrapPolygon edited="0">
              <wp:start x="0" y="0"/>
              <wp:lineTo x="0" y="21206"/>
              <wp:lineTo x="21141" y="21206"/>
              <wp:lineTo x="21141" y="0"/>
              <wp:lineTo x="0" y="0"/>
            </wp:wrapPolygon>
          </wp:wrapTight>
          <wp:docPr id="119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0D2">
      <w:ptab w:relativeTo="margin" w:alignment="center" w:leader="none"/>
    </w:r>
    <w:r w:rsidR="003F50D2">
      <w:rPr>
        <w:noProof/>
      </w:rPr>
      <w:drawing>
        <wp:inline distT="0" distB="0" distL="0" distR="0" wp14:anchorId="0A0C6AD7" wp14:editId="703E2608">
          <wp:extent cx="2028825" cy="746150"/>
          <wp:effectExtent l="0" t="0" r="0" b="0"/>
          <wp:docPr id="1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62135" cy="7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50D2">
      <w:ptab w:relativeTo="margin" w:alignment="right" w:leader="none"/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E101" w14:textId="77777777" w:rsidR="00B661B4" w:rsidRDefault="00B66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657B"/>
    <w:multiLevelType w:val="hybridMultilevel"/>
    <w:tmpl w:val="C9BA7FDA"/>
    <w:lvl w:ilvl="0" w:tplc="AD52C04C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5787D"/>
    <w:multiLevelType w:val="hybridMultilevel"/>
    <w:tmpl w:val="54CC6C76"/>
    <w:lvl w:ilvl="0" w:tplc="8B2C8206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60B44"/>
    <w:multiLevelType w:val="hybridMultilevel"/>
    <w:tmpl w:val="322880C4"/>
    <w:lvl w:ilvl="0" w:tplc="7FCE823C">
      <w:start w:val="5"/>
      <w:numFmt w:val="arabicAlph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9051B"/>
    <w:multiLevelType w:val="hybridMultilevel"/>
    <w:tmpl w:val="3D36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D6A0F"/>
    <w:multiLevelType w:val="hybridMultilevel"/>
    <w:tmpl w:val="A5C278CA"/>
    <w:lvl w:ilvl="0" w:tplc="6A526BDA">
      <w:start w:val="8"/>
      <w:numFmt w:val="arabicAlph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221B2"/>
    <w:multiLevelType w:val="hybridMultilevel"/>
    <w:tmpl w:val="05EECAD0"/>
    <w:lvl w:ilvl="0" w:tplc="95903B6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45"/>
    <w:rsid w:val="000008FD"/>
    <w:rsid w:val="00003632"/>
    <w:rsid w:val="0000451B"/>
    <w:rsid w:val="00004DA3"/>
    <w:rsid w:val="000056D3"/>
    <w:rsid w:val="00005899"/>
    <w:rsid w:val="00005B8A"/>
    <w:rsid w:val="0000639C"/>
    <w:rsid w:val="000078A9"/>
    <w:rsid w:val="000078DA"/>
    <w:rsid w:val="00011819"/>
    <w:rsid w:val="000154B4"/>
    <w:rsid w:val="00015C25"/>
    <w:rsid w:val="000167A1"/>
    <w:rsid w:val="00021AE2"/>
    <w:rsid w:val="000309CB"/>
    <w:rsid w:val="00030BB4"/>
    <w:rsid w:val="0003252E"/>
    <w:rsid w:val="00032A08"/>
    <w:rsid w:val="000340EA"/>
    <w:rsid w:val="00034969"/>
    <w:rsid w:val="00035CE4"/>
    <w:rsid w:val="00035FC0"/>
    <w:rsid w:val="00040744"/>
    <w:rsid w:val="00043A78"/>
    <w:rsid w:val="00043E63"/>
    <w:rsid w:val="000478DB"/>
    <w:rsid w:val="00051B9F"/>
    <w:rsid w:val="0006412B"/>
    <w:rsid w:val="000673CD"/>
    <w:rsid w:val="00067814"/>
    <w:rsid w:val="00070BB6"/>
    <w:rsid w:val="00073F21"/>
    <w:rsid w:val="00074336"/>
    <w:rsid w:val="000743B9"/>
    <w:rsid w:val="000815E2"/>
    <w:rsid w:val="000834ED"/>
    <w:rsid w:val="00084E85"/>
    <w:rsid w:val="000859B7"/>
    <w:rsid w:val="000928A0"/>
    <w:rsid w:val="00093EBD"/>
    <w:rsid w:val="00096ABF"/>
    <w:rsid w:val="000A1475"/>
    <w:rsid w:val="000A267F"/>
    <w:rsid w:val="000A38F0"/>
    <w:rsid w:val="000A55E0"/>
    <w:rsid w:val="000A651C"/>
    <w:rsid w:val="000B241C"/>
    <w:rsid w:val="000B3583"/>
    <w:rsid w:val="000B3C75"/>
    <w:rsid w:val="000B57EB"/>
    <w:rsid w:val="000B5FB4"/>
    <w:rsid w:val="000B609B"/>
    <w:rsid w:val="000B6D15"/>
    <w:rsid w:val="000B7D32"/>
    <w:rsid w:val="000C0CC6"/>
    <w:rsid w:val="000C5CAE"/>
    <w:rsid w:val="000C73E4"/>
    <w:rsid w:val="000C7B40"/>
    <w:rsid w:val="000D64E5"/>
    <w:rsid w:val="000D7E46"/>
    <w:rsid w:val="000E1BA6"/>
    <w:rsid w:val="000E37AE"/>
    <w:rsid w:val="000E5873"/>
    <w:rsid w:val="000F3FA3"/>
    <w:rsid w:val="000F43DD"/>
    <w:rsid w:val="000F4B4A"/>
    <w:rsid w:val="000F61FB"/>
    <w:rsid w:val="00110F5B"/>
    <w:rsid w:val="001120DB"/>
    <w:rsid w:val="00112EBE"/>
    <w:rsid w:val="0011374C"/>
    <w:rsid w:val="00117910"/>
    <w:rsid w:val="001240D1"/>
    <w:rsid w:val="001243E4"/>
    <w:rsid w:val="00124853"/>
    <w:rsid w:val="001324C1"/>
    <w:rsid w:val="00133CC3"/>
    <w:rsid w:val="00133D5A"/>
    <w:rsid w:val="001413C8"/>
    <w:rsid w:val="001426BE"/>
    <w:rsid w:val="00146B45"/>
    <w:rsid w:val="00150572"/>
    <w:rsid w:val="001505E9"/>
    <w:rsid w:val="00150686"/>
    <w:rsid w:val="00150CF4"/>
    <w:rsid w:val="0015135C"/>
    <w:rsid w:val="001514AE"/>
    <w:rsid w:val="00151778"/>
    <w:rsid w:val="0015530B"/>
    <w:rsid w:val="0015682E"/>
    <w:rsid w:val="00157434"/>
    <w:rsid w:val="00160F29"/>
    <w:rsid w:val="001626A1"/>
    <w:rsid w:val="001628D2"/>
    <w:rsid w:val="001629F2"/>
    <w:rsid w:val="001632FF"/>
    <w:rsid w:val="00163BDC"/>
    <w:rsid w:val="0016658A"/>
    <w:rsid w:val="00174062"/>
    <w:rsid w:val="001744BF"/>
    <w:rsid w:val="00175816"/>
    <w:rsid w:val="001768B6"/>
    <w:rsid w:val="00182234"/>
    <w:rsid w:val="0018313A"/>
    <w:rsid w:val="0018317D"/>
    <w:rsid w:val="00183A85"/>
    <w:rsid w:val="00184BFB"/>
    <w:rsid w:val="00185FFE"/>
    <w:rsid w:val="00190358"/>
    <w:rsid w:val="001A1CB3"/>
    <w:rsid w:val="001A2F0E"/>
    <w:rsid w:val="001A45D5"/>
    <w:rsid w:val="001A545B"/>
    <w:rsid w:val="001B3128"/>
    <w:rsid w:val="001B3DF1"/>
    <w:rsid w:val="001B7D01"/>
    <w:rsid w:val="001C04D2"/>
    <w:rsid w:val="001C24DA"/>
    <w:rsid w:val="001C3006"/>
    <w:rsid w:val="001C52D8"/>
    <w:rsid w:val="001C56D7"/>
    <w:rsid w:val="001C5BED"/>
    <w:rsid w:val="001D4A66"/>
    <w:rsid w:val="001D7673"/>
    <w:rsid w:val="001E231B"/>
    <w:rsid w:val="001E2F31"/>
    <w:rsid w:val="001E67B4"/>
    <w:rsid w:val="001F0CBF"/>
    <w:rsid w:val="001F38CA"/>
    <w:rsid w:val="001F57DF"/>
    <w:rsid w:val="001F6644"/>
    <w:rsid w:val="00201674"/>
    <w:rsid w:val="002029A3"/>
    <w:rsid w:val="002032E1"/>
    <w:rsid w:val="002039AD"/>
    <w:rsid w:val="00207EE4"/>
    <w:rsid w:val="002140F8"/>
    <w:rsid w:val="002153ED"/>
    <w:rsid w:val="00220CCD"/>
    <w:rsid w:val="002220AD"/>
    <w:rsid w:val="002231BB"/>
    <w:rsid w:val="0022369C"/>
    <w:rsid w:val="00223E40"/>
    <w:rsid w:val="002364C6"/>
    <w:rsid w:val="002376F3"/>
    <w:rsid w:val="00240252"/>
    <w:rsid w:val="00242A02"/>
    <w:rsid w:val="002436A5"/>
    <w:rsid w:val="002463E8"/>
    <w:rsid w:val="002464B4"/>
    <w:rsid w:val="0025272D"/>
    <w:rsid w:val="002566A9"/>
    <w:rsid w:val="00263012"/>
    <w:rsid w:val="00270A69"/>
    <w:rsid w:val="00273542"/>
    <w:rsid w:val="002744EC"/>
    <w:rsid w:val="002745A3"/>
    <w:rsid w:val="00276074"/>
    <w:rsid w:val="00277C52"/>
    <w:rsid w:val="00282443"/>
    <w:rsid w:val="002834D0"/>
    <w:rsid w:val="0028361A"/>
    <w:rsid w:val="00285028"/>
    <w:rsid w:val="00286B91"/>
    <w:rsid w:val="002934C9"/>
    <w:rsid w:val="0029363D"/>
    <w:rsid w:val="00294623"/>
    <w:rsid w:val="002A047E"/>
    <w:rsid w:val="002A513C"/>
    <w:rsid w:val="002A6A37"/>
    <w:rsid w:val="002B1A6F"/>
    <w:rsid w:val="002B3B61"/>
    <w:rsid w:val="002B609C"/>
    <w:rsid w:val="002B6709"/>
    <w:rsid w:val="002C38D0"/>
    <w:rsid w:val="002C4D38"/>
    <w:rsid w:val="002C5047"/>
    <w:rsid w:val="002C635C"/>
    <w:rsid w:val="002C7A77"/>
    <w:rsid w:val="002D16B6"/>
    <w:rsid w:val="002D5964"/>
    <w:rsid w:val="002D7874"/>
    <w:rsid w:val="002E1F0B"/>
    <w:rsid w:val="002E2A77"/>
    <w:rsid w:val="002E54C8"/>
    <w:rsid w:val="002E5B69"/>
    <w:rsid w:val="002F29BB"/>
    <w:rsid w:val="002F7353"/>
    <w:rsid w:val="00300BCD"/>
    <w:rsid w:val="0030458B"/>
    <w:rsid w:val="003046B4"/>
    <w:rsid w:val="00304A5B"/>
    <w:rsid w:val="00305E01"/>
    <w:rsid w:val="00306978"/>
    <w:rsid w:val="00306D9F"/>
    <w:rsid w:val="00306F45"/>
    <w:rsid w:val="00307DF3"/>
    <w:rsid w:val="0031015F"/>
    <w:rsid w:val="00311D02"/>
    <w:rsid w:val="003128FD"/>
    <w:rsid w:val="00314A8D"/>
    <w:rsid w:val="00315561"/>
    <w:rsid w:val="0031667E"/>
    <w:rsid w:val="00317CC8"/>
    <w:rsid w:val="00320EE2"/>
    <w:rsid w:val="00321E8D"/>
    <w:rsid w:val="0032233B"/>
    <w:rsid w:val="003241C2"/>
    <w:rsid w:val="00325AB8"/>
    <w:rsid w:val="00326234"/>
    <w:rsid w:val="0033271C"/>
    <w:rsid w:val="003346A8"/>
    <w:rsid w:val="00336B2B"/>
    <w:rsid w:val="00340A4B"/>
    <w:rsid w:val="00340CF8"/>
    <w:rsid w:val="00344C11"/>
    <w:rsid w:val="00350CB8"/>
    <w:rsid w:val="003539E5"/>
    <w:rsid w:val="0035559C"/>
    <w:rsid w:val="0035568B"/>
    <w:rsid w:val="003558E9"/>
    <w:rsid w:val="00355927"/>
    <w:rsid w:val="00357E6A"/>
    <w:rsid w:val="00364932"/>
    <w:rsid w:val="00372DC8"/>
    <w:rsid w:val="003778A2"/>
    <w:rsid w:val="00382D4C"/>
    <w:rsid w:val="003849A2"/>
    <w:rsid w:val="00384F38"/>
    <w:rsid w:val="003864B0"/>
    <w:rsid w:val="003876CD"/>
    <w:rsid w:val="00390BCD"/>
    <w:rsid w:val="003919A8"/>
    <w:rsid w:val="00392E22"/>
    <w:rsid w:val="003939AB"/>
    <w:rsid w:val="003A0C13"/>
    <w:rsid w:val="003A1804"/>
    <w:rsid w:val="003A61CA"/>
    <w:rsid w:val="003A7743"/>
    <w:rsid w:val="003B2865"/>
    <w:rsid w:val="003B2E31"/>
    <w:rsid w:val="003B34F7"/>
    <w:rsid w:val="003B6CE6"/>
    <w:rsid w:val="003B6E0F"/>
    <w:rsid w:val="003C1E10"/>
    <w:rsid w:val="003C25DC"/>
    <w:rsid w:val="003C4815"/>
    <w:rsid w:val="003C798F"/>
    <w:rsid w:val="003D355D"/>
    <w:rsid w:val="003D3AD0"/>
    <w:rsid w:val="003D49F3"/>
    <w:rsid w:val="003D51C5"/>
    <w:rsid w:val="003D6531"/>
    <w:rsid w:val="003E0588"/>
    <w:rsid w:val="003E1E30"/>
    <w:rsid w:val="003E2250"/>
    <w:rsid w:val="003E3111"/>
    <w:rsid w:val="003E37E0"/>
    <w:rsid w:val="003E6AAE"/>
    <w:rsid w:val="003E7056"/>
    <w:rsid w:val="003E7ED5"/>
    <w:rsid w:val="003F09C5"/>
    <w:rsid w:val="003F50D2"/>
    <w:rsid w:val="003F6A7E"/>
    <w:rsid w:val="004023E2"/>
    <w:rsid w:val="004038BB"/>
    <w:rsid w:val="00403DC4"/>
    <w:rsid w:val="00404DD2"/>
    <w:rsid w:val="004060CD"/>
    <w:rsid w:val="00407AEB"/>
    <w:rsid w:val="00414836"/>
    <w:rsid w:val="00415D83"/>
    <w:rsid w:val="004202A7"/>
    <w:rsid w:val="00421116"/>
    <w:rsid w:val="00427B80"/>
    <w:rsid w:val="00427E52"/>
    <w:rsid w:val="00430DD9"/>
    <w:rsid w:val="0043192D"/>
    <w:rsid w:val="00431D70"/>
    <w:rsid w:val="00432264"/>
    <w:rsid w:val="00434706"/>
    <w:rsid w:val="0043618A"/>
    <w:rsid w:val="004420E4"/>
    <w:rsid w:val="0044309F"/>
    <w:rsid w:val="0044451F"/>
    <w:rsid w:val="00444A58"/>
    <w:rsid w:val="00445544"/>
    <w:rsid w:val="00446AA9"/>
    <w:rsid w:val="00450945"/>
    <w:rsid w:val="00451429"/>
    <w:rsid w:val="00451A87"/>
    <w:rsid w:val="00452772"/>
    <w:rsid w:val="00455105"/>
    <w:rsid w:val="00456BED"/>
    <w:rsid w:val="00460188"/>
    <w:rsid w:val="00462BBC"/>
    <w:rsid w:val="00462D3F"/>
    <w:rsid w:val="00463D9F"/>
    <w:rsid w:val="0046454E"/>
    <w:rsid w:val="004645D0"/>
    <w:rsid w:val="004655F3"/>
    <w:rsid w:val="0047165D"/>
    <w:rsid w:val="00473BDA"/>
    <w:rsid w:val="00473DB5"/>
    <w:rsid w:val="00475455"/>
    <w:rsid w:val="0047604E"/>
    <w:rsid w:val="00476966"/>
    <w:rsid w:val="004809A5"/>
    <w:rsid w:val="00482615"/>
    <w:rsid w:val="0048458E"/>
    <w:rsid w:val="00487ADD"/>
    <w:rsid w:val="004938C7"/>
    <w:rsid w:val="00493C58"/>
    <w:rsid w:val="0049716C"/>
    <w:rsid w:val="004A0B94"/>
    <w:rsid w:val="004A239F"/>
    <w:rsid w:val="004A7775"/>
    <w:rsid w:val="004B09B8"/>
    <w:rsid w:val="004B16DA"/>
    <w:rsid w:val="004B29CD"/>
    <w:rsid w:val="004B5874"/>
    <w:rsid w:val="004B6EE1"/>
    <w:rsid w:val="004C27CA"/>
    <w:rsid w:val="004C3418"/>
    <w:rsid w:val="004C5D71"/>
    <w:rsid w:val="004C66D2"/>
    <w:rsid w:val="004C6F79"/>
    <w:rsid w:val="004C7AA4"/>
    <w:rsid w:val="004D0454"/>
    <w:rsid w:val="004D2E1F"/>
    <w:rsid w:val="004D3A9E"/>
    <w:rsid w:val="004D4719"/>
    <w:rsid w:val="004D6403"/>
    <w:rsid w:val="004D7C48"/>
    <w:rsid w:val="004D7FF6"/>
    <w:rsid w:val="004F5021"/>
    <w:rsid w:val="004F5724"/>
    <w:rsid w:val="004F67B9"/>
    <w:rsid w:val="005008AC"/>
    <w:rsid w:val="00502970"/>
    <w:rsid w:val="00510E4F"/>
    <w:rsid w:val="005135FF"/>
    <w:rsid w:val="005137D8"/>
    <w:rsid w:val="00514E4C"/>
    <w:rsid w:val="005305CC"/>
    <w:rsid w:val="00531F4F"/>
    <w:rsid w:val="0053276F"/>
    <w:rsid w:val="00532775"/>
    <w:rsid w:val="0053288A"/>
    <w:rsid w:val="00537786"/>
    <w:rsid w:val="00543C53"/>
    <w:rsid w:val="00545EEA"/>
    <w:rsid w:val="0055092E"/>
    <w:rsid w:val="00552A82"/>
    <w:rsid w:val="00556EAE"/>
    <w:rsid w:val="00557ABB"/>
    <w:rsid w:val="005633E5"/>
    <w:rsid w:val="00564181"/>
    <w:rsid w:val="00567AC8"/>
    <w:rsid w:val="00570A17"/>
    <w:rsid w:val="00572036"/>
    <w:rsid w:val="00573064"/>
    <w:rsid w:val="005743AE"/>
    <w:rsid w:val="00583C02"/>
    <w:rsid w:val="005854AA"/>
    <w:rsid w:val="00586424"/>
    <w:rsid w:val="00587595"/>
    <w:rsid w:val="005875BE"/>
    <w:rsid w:val="00587A18"/>
    <w:rsid w:val="00590A4C"/>
    <w:rsid w:val="00594782"/>
    <w:rsid w:val="00594E6B"/>
    <w:rsid w:val="0059516A"/>
    <w:rsid w:val="00596905"/>
    <w:rsid w:val="00597DBC"/>
    <w:rsid w:val="005A0359"/>
    <w:rsid w:val="005A0F70"/>
    <w:rsid w:val="005A1189"/>
    <w:rsid w:val="005A18B2"/>
    <w:rsid w:val="005A3188"/>
    <w:rsid w:val="005B1D46"/>
    <w:rsid w:val="005B1F3E"/>
    <w:rsid w:val="005C46DD"/>
    <w:rsid w:val="005C557B"/>
    <w:rsid w:val="005C56C2"/>
    <w:rsid w:val="005C6E34"/>
    <w:rsid w:val="005D44ED"/>
    <w:rsid w:val="005D63AD"/>
    <w:rsid w:val="005E02D9"/>
    <w:rsid w:val="005E2340"/>
    <w:rsid w:val="005E2EF2"/>
    <w:rsid w:val="005E4CF4"/>
    <w:rsid w:val="005E7E5E"/>
    <w:rsid w:val="005F0AFD"/>
    <w:rsid w:val="005F2761"/>
    <w:rsid w:val="005F33E1"/>
    <w:rsid w:val="005F5EAB"/>
    <w:rsid w:val="005F6AA5"/>
    <w:rsid w:val="005F741D"/>
    <w:rsid w:val="00600400"/>
    <w:rsid w:val="00601594"/>
    <w:rsid w:val="006019BB"/>
    <w:rsid w:val="006037F8"/>
    <w:rsid w:val="00607ABF"/>
    <w:rsid w:val="00611A55"/>
    <w:rsid w:val="00614CB0"/>
    <w:rsid w:val="00615E80"/>
    <w:rsid w:val="006204A2"/>
    <w:rsid w:val="006252B6"/>
    <w:rsid w:val="00626FF1"/>
    <w:rsid w:val="00627606"/>
    <w:rsid w:val="00635BDD"/>
    <w:rsid w:val="00637E84"/>
    <w:rsid w:val="006416AC"/>
    <w:rsid w:val="00647A60"/>
    <w:rsid w:val="00647BDE"/>
    <w:rsid w:val="0065349D"/>
    <w:rsid w:val="00662EC3"/>
    <w:rsid w:val="0066690F"/>
    <w:rsid w:val="006855DA"/>
    <w:rsid w:val="00690374"/>
    <w:rsid w:val="00691C14"/>
    <w:rsid w:val="0069364E"/>
    <w:rsid w:val="0069657F"/>
    <w:rsid w:val="0069758F"/>
    <w:rsid w:val="00697A08"/>
    <w:rsid w:val="00697E62"/>
    <w:rsid w:val="006A0A19"/>
    <w:rsid w:val="006A11B3"/>
    <w:rsid w:val="006A30FC"/>
    <w:rsid w:val="006A3E40"/>
    <w:rsid w:val="006A7422"/>
    <w:rsid w:val="006B416F"/>
    <w:rsid w:val="006B4CE6"/>
    <w:rsid w:val="006B5464"/>
    <w:rsid w:val="006B6E53"/>
    <w:rsid w:val="006B71D1"/>
    <w:rsid w:val="006C0D3B"/>
    <w:rsid w:val="006C222E"/>
    <w:rsid w:val="006C2B9C"/>
    <w:rsid w:val="006D1CBA"/>
    <w:rsid w:val="006D1CFC"/>
    <w:rsid w:val="006D277E"/>
    <w:rsid w:val="006D46D3"/>
    <w:rsid w:val="006E159D"/>
    <w:rsid w:val="006E1CF3"/>
    <w:rsid w:val="006E2799"/>
    <w:rsid w:val="006E2CFB"/>
    <w:rsid w:val="006E4B72"/>
    <w:rsid w:val="006F0EEE"/>
    <w:rsid w:val="006F2E92"/>
    <w:rsid w:val="006F749F"/>
    <w:rsid w:val="006F7D04"/>
    <w:rsid w:val="007006D4"/>
    <w:rsid w:val="007020E8"/>
    <w:rsid w:val="00703780"/>
    <w:rsid w:val="007061EF"/>
    <w:rsid w:val="00706CA3"/>
    <w:rsid w:val="00707F13"/>
    <w:rsid w:val="00710945"/>
    <w:rsid w:val="00711C84"/>
    <w:rsid w:val="00712CD4"/>
    <w:rsid w:val="00712DC8"/>
    <w:rsid w:val="00716EA0"/>
    <w:rsid w:val="00721BDB"/>
    <w:rsid w:val="0072355A"/>
    <w:rsid w:val="00725A96"/>
    <w:rsid w:val="00725F06"/>
    <w:rsid w:val="0072703E"/>
    <w:rsid w:val="007308E4"/>
    <w:rsid w:val="00730EA3"/>
    <w:rsid w:val="00732874"/>
    <w:rsid w:val="00734ABC"/>
    <w:rsid w:val="0073798E"/>
    <w:rsid w:val="00737E67"/>
    <w:rsid w:val="00743AB4"/>
    <w:rsid w:val="007459B5"/>
    <w:rsid w:val="00754193"/>
    <w:rsid w:val="007564D5"/>
    <w:rsid w:val="00761D70"/>
    <w:rsid w:val="00763CFB"/>
    <w:rsid w:val="00764CD7"/>
    <w:rsid w:val="007653B1"/>
    <w:rsid w:val="00765BE3"/>
    <w:rsid w:val="00771465"/>
    <w:rsid w:val="00772EAB"/>
    <w:rsid w:val="007775CA"/>
    <w:rsid w:val="007823E6"/>
    <w:rsid w:val="00784293"/>
    <w:rsid w:val="007865E3"/>
    <w:rsid w:val="007918AB"/>
    <w:rsid w:val="00791C3D"/>
    <w:rsid w:val="00794055"/>
    <w:rsid w:val="007954F3"/>
    <w:rsid w:val="00797177"/>
    <w:rsid w:val="007973C0"/>
    <w:rsid w:val="007975B2"/>
    <w:rsid w:val="007A3D3D"/>
    <w:rsid w:val="007A5D4F"/>
    <w:rsid w:val="007B0133"/>
    <w:rsid w:val="007C09F1"/>
    <w:rsid w:val="007C0FB2"/>
    <w:rsid w:val="007C384D"/>
    <w:rsid w:val="007C47B6"/>
    <w:rsid w:val="007C6625"/>
    <w:rsid w:val="007D24BF"/>
    <w:rsid w:val="007D307C"/>
    <w:rsid w:val="007D5031"/>
    <w:rsid w:val="007D6221"/>
    <w:rsid w:val="007D65F2"/>
    <w:rsid w:val="007E2C38"/>
    <w:rsid w:val="007E5045"/>
    <w:rsid w:val="007E70A0"/>
    <w:rsid w:val="007E72F3"/>
    <w:rsid w:val="007F3537"/>
    <w:rsid w:val="00804402"/>
    <w:rsid w:val="00804ECB"/>
    <w:rsid w:val="00806517"/>
    <w:rsid w:val="008066BA"/>
    <w:rsid w:val="00806D13"/>
    <w:rsid w:val="008162E6"/>
    <w:rsid w:val="00817293"/>
    <w:rsid w:val="0082187A"/>
    <w:rsid w:val="008227F7"/>
    <w:rsid w:val="00822F56"/>
    <w:rsid w:val="00823154"/>
    <w:rsid w:val="00823660"/>
    <w:rsid w:val="008306F0"/>
    <w:rsid w:val="008333AF"/>
    <w:rsid w:val="008362B9"/>
    <w:rsid w:val="008403A2"/>
    <w:rsid w:val="00840557"/>
    <w:rsid w:val="008431CA"/>
    <w:rsid w:val="00844C5B"/>
    <w:rsid w:val="00846C58"/>
    <w:rsid w:val="00850D5A"/>
    <w:rsid w:val="008516C4"/>
    <w:rsid w:val="00856DC3"/>
    <w:rsid w:val="00860606"/>
    <w:rsid w:val="00860910"/>
    <w:rsid w:val="00860D62"/>
    <w:rsid w:val="00861B60"/>
    <w:rsid w:val="00863A8D"/>
    <w:rsid w:val="00864EC2"/>
    <w:rsid w:val="00865318"/>
    <w:rsid w:val="008660F4"/>
    <w:rsid w:val="00871411"/>
    <w:rsid w:val="0087432F"/>
    <w:rsid w:val="00874FDD"/>
    <w:rsid w:val="00876022"/>
    <w:rsid w:val="00877617"/>
    <w:rsid w:val="00877CFD"/>
    <w:rsid w:val="00883D66"/>
    <w:rsid w:val="0088610E"/>
    <w:rsid w:val="008948EB"/>
    <w:rsid w:val="0089598B"/>
    <w:rsid w:val="00896AFB"/>
    <w:rsid w:val="008A039F"/>
    <w:rsid w:val="008A4D32"/>
    <w:rsid w:val="008A6EB8"/>
    <w:rsid w:val="008A7FF0"/>
    <w:rsid w:val="008B02AC"/>
    <w:rsid w:val="008B0A37"/>
    <w:rsid w:val="008B167F"/>
    <w:rsid w:val="008B1CB4"/>
    <w:rsid w:val="008B265A"/>
    <w:rsid w:val="008B5C20"/>
    <w:rsid w:val="008B7050"/>
    <w:rsid w:val="008C05A5"/>
    <w:rsid w:val="008C1686"/>
    <w:rsid w:val="008C57CE"/>
    <w:rsid w:val="008D2E56"/>
    <w:rsid w:val="008D6D29"/>
    <w:rsid w:val="008E15CD"/>
    <w:rsid w:val="008E7906"/>
    <w:rsid w:val="008F0C2E"/>
    <w:rsid w:val="008F70E2"/>
    <w:rsid w:val="00901C07"/>
    <w:rsid w:val="0090285A"/>
    <w:rsid w:val="00902A4A"/>
    <w:rsid w:val="00906449"/>
    <w:rsid w:val="009071F9"/>
    <w:rsid w:val="0090732B"/>
    <w:rsid w:val="00910B47"/>
    <w:rsid w:val="0091363D"/>
    <w:rsid w:val="00916B97"/>
    <w:rsid w:val="00925CAF"/>
    <w:rsid w:val="00927B0D"/>
    <w:rsid w:val="00930A2A"/>
    <w:rsid w:val="009321F9"/>
    <w:rsid w:val="00933468"/>
    <w:rsid w:val="009336E7"/>
    <w:rsid w:val="009337F2"/>
    <w:rsid w:val="00934025"/>
    <w:rsid w:val="009355AF"/>
    <w:rsid w:val="00935611"/>
    <w:rsid w:val="00935F4E"/>
    <w:rsid w:val="00937580"/>
    <w:rsid w:val="00937C87"/>
    <w:rsid w:val="00940EF6"/>
    <w:rsid w:val="00942313"/>
    <w:rsid w:val="00942647"/>
    <w:rsid w:val="00942971"/>
    <w:rsid w:val="009437D6"/>
    <w:rsid w:val="00944A2D"/>
    <w:rsid w:val="00945E48"/>
    <w:rsid w:val="0095490F"/>
    <w:rsid w:val="00967937"/>
    <w:rsid w:val="009710AA"/>
    <w:rsid w:val="009725A0"/>
    <w:rsid w:val="00972A4C"/>
    <w:rsid w:val="00972BC5"/>
    <w:rsid w:val="0097319E"/>
    <w:rsid w:val="00977035"/>
    <w:rsid w:val="00977F3C"/>
    <w:rsid w:val="009814DE"/>
    <w:rsid w:val="00984485"/>
    <w:rsid w:val="00984F18"/>
    <w:rsid w:val="0098579F"/>
    <w:rsid w:val="00985C39"/>
    <w:rsid w:val="00990482"/>
    <w:rsid w:val="00991E54"/>
    <w:rsid w:val="00992DE3"/>
    <w:rsid w:val="009958FE"/>
    <w:rsid w:val="00997C9F"/>
    <w:rsid w:val="009A050C"/>
    <w:rsid w:val="009A7A60"/>
    <w:rsid w:val="009B0EB2"/>
    <w:rsid w:val="009B3607"/>
    <w:rsid w:val="009B3D5B"/>
    <w:rsid w:val="009C1473"/>
    <w:rsid w:val="009C1747"/>
    <w:rsid w:val="009D09BB"/>
    <w:rsid w:val="009D3ACE"/>
    <w:rsid w:val="009E24D1"/>
    <w:rsid w:val="009E3931"/>
    <w:rsid w:val="009E66FB"/>
    <w:rsid w:val="009F3483"/>
    <w:rsid w:val="009F5ED0"/>
    <w:rsid w:val="009F6AAE"/>
    <w:rsid w:val="009F7CBF"/>
    <w:rsid w:val="00A01388"/>
    <w:rsid w:val="00A018BD"/>
    <w:rsid w:val="00A05EC2"/>
    <w:rsid w:val="00A063B7"/>
    <w:rsid w:val="00A06E7E"/>
    <w:rsid w:val="00A11A95"/>
    <w:rsid w:val="00A13310"/>
    <w:rsid w:val="00A1558A"/>
    <w:rsid w:val="00A168C2"/>
    <w:rsid w:val="00A16E91"/>
    <w:rsid w:val="00A17045"/>
    <w:rsid w:val="00A2096F"/>
    <w:rsid w:val="00A20D16"/>
    <w:rsid w:val="00A22564"/>
    <w:rsid w:val="00A230F1"/>
    <w:rsid w:val="00A25677"/>
    <w:rsid w:val="00A30AF2"/>
    <w:rsid w:val="00A32CFE"/>
    <w:rsid w:val="00A35CEC"/>
    <w:rsid w:val="00A4163E"/>
    <w:rsid w:val="00A41D53"/>
    <w:rsid w:val="00A45F70"/>
    <w:rsid w:val="00A46A4A"/>
    <w:rsid w:val="00A61DA7"/>
    <w:rsid w:val="00A643EA"/>
    <w:rsid w:val="00A6584B"/>
    <w:rsid w:val="00A70767"/>
    <w:rsid w:val="00A71885"/>
    <w:rsid w:val="00A720B3"/>
    <w:rsid w:val="00A72A4D"/>
    <w:rsid w:val="00A72CF3"/>
    <w:rsid w:val="00A745BC"/>
    <w:rsid w:val="00A827E9"/>
    <w:rsid w:val="00A82DC7"/>
    <w:rsid w:val="00A84363"/>
    <w:rsid w:val="00A845E8"/>
    <w:rsid w:val="00A86361"/>
    <w:rsid w:val="00A8646E"/>
    <w:rsid w:val="00A871FE"/>
    <w:rsid w:val="00A92A94"/>
    <w:rsid w:val="00A92B9B"/>
    <w:rsid w:val="00A93C15"/>
    <w:rsid w:val="00A96B2C"/>
    <w:rsid w:val="00AA03A9"/>
    <w:rsid w:val="00AA243A"/>
    <w:rsid w:val="00AA448A"/>
    <w:rsid w:val="00AA7E96"/>
    <w:rsid w:val="00AB0492"/>
    <w:rsid w:val="00AB088E"/>
    <w:rsid w:val="00AB4172"/>
    <w:rsid w:val="00AB7EC2"/>
    <w:rsid w:val="00AB7FF3"/>
    <w:rsid w:val="00AC00C9"/>
    <w:rsid w:val="00AC23F8"/>
    <w:rsid w:val="00AC5A8E"/>
    <w:rsid w:val="00AD2449"/>
    <w:rsid w:val="00AD26F5"/>
    <w:rsid w:val="00AD2A5B"/>
    <w:rsid w:val="00AD4A6F"/>
    <w:rsid w:val="00AE01BE"/>
    <w:rsid w:val="00AE3B57"/>
    <w:rsid w:val="00AE7125"/>
    <w:rsid w:val="00AE7EB8"/>
    <w:rsid w:val="00AF0112"/>
    <w:rsid w:val="00AF4E84"/>
    <w:rsid w:val="00AF7025"/>
    <w:rsid w:val="00B02041"/>
    <w:rsid w:val="00B03BD7"/>
    <w:rsid w:val="00B04736"/>
    <w:rsid w:val="00B04DD5"/>
    <w:rsid w:val="00B06F4F"/>
    <w:rsid w:val="00B12B3F"/>
    <w:rsid w:val="00B1307F"/>
    <w:rsid w:val="00B16FCB"/>
    <w:rsid w:val="00B2097D"/>
    <w:rsid w:val="00B2203A"/>
    <w:rsid w:val="00B22112"/>
    <w:rsid w:val="00B30D7D"/>
    <w:rsid w:val="00B32A91"/>
    <w:rsid w:val="00B35810"/>
    <w:rsid w:val="00B36FCF"/>
    <w:rsid w:val="00B41C16"/>
    <w:rsid w:val="00B42769"/>
    <w:rsid w:val="00B4552E"/>
    <w:rsid w:val="00B45B8C"/>
    <w:rsid w:val="00B46D7B"/>
    <w:rsid w:val="00B5163B"/>
    <w:rsid w:val="00B52E6A"/>
    <w:rsid w:val="00B53102"/>
    <w:rsid w:val="00B5419F"/>
    <w:rsid w:val="00B5653B"/>
    <w:rsid w:val="00B567B7"/>
    <w:rsid w:val="00B56B2F"/>
    <w:rsid w:val="00B57661"/>
    <w:rsid w:val="00B57E79"/>
    <w:rsid w:val="00B6089F"/>
    <w:rsid w:val="00B61C84"/>
    <w:rsid w:val="00B621B1"/>
    <w:rsid w:val="00B661B4"/>
    <w:rsid w:val="00B706EE"/>
    <w:rsid w:val="00B73E2F"/>
    <w:rsid w:val="00B76706"/>
    <w:rsid w:val="00B778A5"/>
    <w:rsid w:val="00B779AD"/>
    <w:rsid w:val="00B81B99"/>
    <w:rsid w:val="00B851DD"/>
    <w:rsid w:val="00B86C75"/>
    <w:rsid w:val="00B91314"/>
    <w:rsid w:val="00B918DA"/>
    <w:rsid w:val="00B94FCC"/>
    <w:rsid w:val="00B95E1D"/>
    <w:rsid w:val="00BA38C1"/>
    <w:rsid w:val="00BA463B"/>
    <w:rsid w:val="00BB051F"/>
    <w:rsid w:val="00BB0932"/>
    <w:rsid w:val="00BB217F"/>
    <w:rsid w:val="00BB255B"/>
    <w:rsid w:val="00BC288E"/>
    <w:rsid w:val="00BC45F7"/>
    <w:rsid w:val="00BC76F4"/>
    <w:rsid w:val="00BD16C1"/>
    <w:rsid w:val="00BD1D25"/>
    <w:rsid w:val="00BD43A5"/>
    <w:rsid w:val="00BD6039"/>
    <w:rsid w:val="00BE0859"/>
    <w:rsid w:val="00BE2176"/>
    <w:rsid w:val="00BE686B"/>
    <w:rsid w:val="00BE7754"/>
    <w:rsid w:val="00BF253C"/>
    <w:rsid w:val="00BF52F1"/>
    <w:rsid w:val="00BF5E9D"/>
    <w:rsid w:val="00BF728D"/>
    <w:rsid w:val="00C01E49"/>
    <w:rsid w:val="00C02E9A"/>
    <w:rsid w:val="00C035B3"/>
    <w:rsid w:val="00C10C12"/>
    <w:rsid w:val="00C139BD"/>
    <w:rsid w:val="00C13B0D"/>
    <w:rsid w:val="00C13D0E"/>
    <w:rsid w:val="00C17A90"/>
    <w:rsid w:val="00C234EE"/>
    <w:rsid w:val="00C235F4"/>
    <w:rsid w:val="00C252B3"/>
    <w:rsid w:val="00C35067"/>
    <w:rsid w:val="00C351FE"/>
    <w:rsid w:val="00C35990"/>
    <w:rsid w:val="00C368A2"/>
    <w:rsid w:val="00C42742"/>
    <w:rsid w:val="00C435EE"/>
    <w:rsid w:val="00C4488F"/>
    <w:rsid w:val="00C5242C"/>
    <w:rsid w:val="00C52C9B"/>
    <w:rsid w:val="00C53AA7"/>
    <w:rsid w:val="00C55442"/>
    <w:rsid w:val="00C627BC"/>
    <w:rsid w:val="00C64271"/>
    <w:rsid w:val="00C675CE"/>
    <w:rsid w:val="00C77632"/>
    <w:rsid w:val="00C808F6"/>
    <w:rsid w:val="00C81AE7"/>
    <w:rsid w:val="00C823A1"/>
    <w:rsid w:val="00C8429A"/>
    <w:rsid w:val="00C85C1E"/>
    <w:rsid w:val="00C874A6"/>
    <w:rsid w:val="00C87DD7"/>
    <w:rsid w:val="00C91945"/>
    <w:rsid w:val="00C92B56"/>
    <w:rsid w:val="00CA048B"/>
    <w:rsid w:val="00CA1179"/>
    <w:rsid w:val="00CA2B66"/>
    <w:rsid w:val="00CA3915"/>
    <w:rsid w:val="00CA40BA"/>
    <w:rsid w:val="00CA64F3"/>
    <w:rsid w:val="00CA7F59"/>
    <w:rsid w:val="00CB4C06"/>
    <w:rsid w:val="00CC16AD"/>
    <w:rsid w:val="00CC2B1B"/>
    <w:rsid w:val="00CC73A3"/>
    <w:rsid w:val="00CD1D58"/>
    <w:rsid w:val="00CE02DA"/>
    <w:rsid w:val="00CE191F"/>
    <w:rsid w:val="00CE34D3"/>
    <w:rsid w:val="00CE4451"/>
    <w:rsid w:val="00CF262F"/>
    <w:rsid w:val="00CF7C9B"/>
    <w:rsid w:val="00D015E6"/>
    <w:rsid w:val="00D02C7A"/>
    <w:rsid w:val="00D044DD"/>
    <w:rsid w:val="00D0591A"/>
    <w:rsid w:val="00D06DB1"/>
    <w:rsid w:val="00D108A6"/>
    <w:rsid w:val="00D12230"/>
    <w:rsid w:val="00D15114"/>
    <w:rsid w:val="00D15C68"/>
    <w:rsid w:val="00D2191C"/>
    <w:rsid w:val="00D21982"/>
    <w:rsid w:val="00D23604"/>
    <w:rsid w:val="00D246C0"/>
    <w:rsid w:val="00D25628"/>
    <w:rsid w:val="00D274DF"/>
    <w:rsid w:val="00D35610"/>
    <w:rsid w:val="00D37854"/>
    <w:rsid w:val="00D37A79"/>
    <w:rsid w:val="00D37F5E"/>
    <w:rsid w:val="00D4071A"/>
    <w:rsid w:val="00D424F8"/>
    <w:rsid w:val="00D4521C"/>
    <w:rsid w:val="00D45D5A"/>
    <w:rsid w:val="00D54B3F"/>
    <w:rsid w:val="00D5610B"/>
    <w:rsid w:val="00D61988"/>
    <w:rsid w:val="00D63A84"/>
    <w:rsid w:val="00D64024"/>
    <w:rsid w:val="00D665F9"/>
    <w:rsid w:val="00D6670D"/>
    <w:rsid w:val="00D66726"/>
    <w:rsid w:val="00D70DFF"/>
    <w:rsid w:val="00D7201A"/>
    <w:rsid w:val="00D721F1"/>
    <w:rsid w:val="00D76E05"/>
    <w:rsid w:val="00D82739"/>
    <w:rsid w:val="00D8489C"/>
    <w:rsid w:val="00D90BF6"/>
    <w:rsid w:val="00D91B5F"/>
    <w:rsid w:val="00DA06FD"/>
    <w:rsid w:val="00DA1797"/>
    <w:rsid w:val="00DA2A3B"/>
    <w:rsid w:val="00DA531C"/>
    <w:rsid w:val="00DA6D69"/>
    <w:rsid w:val="00DA7DBC"/>
    <w:rsid w:val="00DB5246"/>
    <w:rsid w:val="00DB6BED"/>
    <w:rsid w:val="00DC2A76"/>
    <w:rsid w:val="00DC43D8"/>
    <w:rsid w:val="00DC7790"/>
    <w:rsid w:val="00DD2D79"/>
    <w:rsid w:val="00DD3746"/>
    <w:rsid w:val="00DD4F03"/>
    <w:rsid w:val="00DD7BE8"/>
    <w:rsid w:val="00DE6B30"/>
    <w:rsid w:val="00DF365A"/>
    <w:rsid w:val="00DF4476"/>
    <w:rsid w:val="00DF52F2"/>
    <w:rsid w:val="00DF6D08"/>
    <w:rsid w:val="00E015F4"/>
    <w:rsid w:val="00E04381"/>
    <w:rsid w:val="00E05447"/>
    <w:rsid w:val="00E06658"/>
    <w:rsid w:val="00E068FD"/>
    <w:rsid w:val="00E2021D"/>
    <w:rsid w:val="00E2644D"/>
    <w:rsid w:val="00E26C61"/>
    <w:rsid w:val="00E27FC7"/>
    <w:rsid w:val="00E30A6F"/>
    <w:rsid w:val="00E30BE3"/>
    <w:rsid w:val="00E3767E"/>
    <w:rsid w:val="00E37B49"/>
    <w:rsid w:val="00E42234"/>
    <w:rsid w:val="00E43CBE"/>
    <w:rsid w:val="00E517ED"/>
    <w:rsid w:val="00E52F67"/>
    <w:rsid w:val="00E5541C"/>
    <w:rsid w:val="00E60EFE"/>
    <w:rsid w:val="00E61D7E"/>
    <w:rsid w:val="00E65607"/>
    <w:rsid w:val="00E65D96"/>
    <w:rsid w:val="00E66895"/>
    <w:rsid w:val="00E66E7A"/>
    <w:rsid w:val="00E67823"/>
    <w:rsid w:val="00E72F3E"/>
    <w:rsid w:val="00E8311E"/>
    <w:rsid w:val="00E8324F"/>
    <w:rsid w:val="00E85C13"/>
    <w:rsid w:val="00E95FEA"/>
    <w:rsid w:val="00EA10A5"/>
    <w:rsid w:val="00EA49F3"/>
    <w:rsid w:val="00EA4CCE"/>
    <w:rsid w:val="00EA6801"/>
    <w:rsid w:val="00EB1AAC"/>
    <w:rsid w:val="00EB390C"/>
    <w:rsid w:val="00EB6567"/>
    <w:rsid w:val="00EC1B81"/>
    <w:rsid w:val="00EC3146"/>
    <w:rsid w:val="00ED21EF"/>
    <w:rsid w:val="00ED28C9"/>
    <w:rsid w:val="00ED5A33"/>
    <w:rsid w:val="00ED62A5"/>
    <w:rsid w:val="00EE0724"/>
    <w:rsid w:val="00EE309D"/>
    <w:rsid w:val="00EE7577"/>
    <w:rsid w:val="00EE7DBC"/>
    <w:rsid w:val="00EF47D4"/>
    <w:rsid w:val="00EF5A63"/>
    <w:rsid w:val="00EF6E69"/>
    <w:rsid w:val="00F07CC1"/>
    <w:rsid w:val="00F1221D"/>
    <w:rsid w:val="00F13B53"/>
    <w:rsid w:val="00F1421B"/>
    <w:rsid w:val="00F142C8"/>
    <w:rsid w:val="00F16FD5"/>
    <w:rsid w:val="00F202B2"/>
    <w:rsid w:val="00F20CD8"/>
    <w:rsid w:val="00F23873"/>
    <w:rsid w:val="00F27147"/>
    <w:rsid w:val="00F27792"/>
    <w:rsid w:val="00F27B71"/>
    <w:rsid w:val="00F30231"/>
    <w:rsid w:val="00F30DCA"/>
    <w:rsid w:val="00F34E81"/>
    <w:rsid w:val="00F353AA"/>
    <w:rsid w:val="00F35975"/>
    <w:rsid w:val="00F379D6"/>
    <w:rsid w:val="00F4299D"/>
    <w:rsid w:val="00F42CBC"/>
    <w:rsid w:val="00F42EA6"/>
    <w:rsid w:val="00F462F7"/>
    <w:rsid w:val="00F46CAF"/>
    <w:rsid w:val="00F46E90"/>
    <w:rsid w:val="00F474E1"/>
    <w:rsid w:val="00F51AC9"/>
    <w:rsid w:val="00F53187"/>
    <w:rsid w:val="00F53C54"/>
    <w:rsid w:val="00F57859"/>
    <w:rsid w:val="00F57BA5"/>
    <w:rsid w:val="00F6327B"/>
    <w:rsid w:val="00F644C9"/>
    <w:rsid w:val="00F65BB1"/>
    <w:rsid w:val="00F724CC"/>
    <w:rsid w:val="00F74F6A"/>
    <w:rsid w:val="00F76AAF"/>
    <w:rsid w:val="00F80E7D"/>
    <w:rsid w:val="00F856F9"/>
    <w:rsid w:val="00F9749F"/>
    <w:rsid w:val="00F97B34"/>
    <w:rsid w:val="00FA017F"/>
    <w:rsid w:val="00FA0B80"/>
    <w:rsid w:val="00FA17DE"/>
    <w:rsid w:val="00FA6CBE"/>
    <w:rsid w:val="00FA7D67"/>
    <w:rsid w:val="00FB1207"/>
    <w:rsid w:val="00FB1D7F"/>
    <w:rsid w:val="00FB37E4"/>
    <w:rsid w:val="00FB3B37"/>
    <w:rsid w:val="00FB6737"/>
    <w:rsid w:val="00FC06E7"/>
    <w:rsid w:val="00FC40D2"/>
    <w:rsid w:val="00FC4606"/>
    <w:rsid w:val="00FC52CD"/>
    <w:rsid w:val="00FC7569"/>
    <w:rsid w:val="00FD2920"/>
    <w:rsid w:val="00FD58A0"/>
    <w:rsid w:val="00FD7536"/>
    <w:rsid w:val="00FE2C24"/>
    <w:rsid w:val="00FE5B6D"/>
    <w:rsid w:val="00FF2223"/>
    <w:rsid w:val="00FF2A25"/>
    <w:rsid w:val="00FF370F"/>
    <w:rsid w:val="00FF3CE6"/>
    <w:rsid w:val="00FF4D52"/>
    <w:rsid w:val="00FF5299"/>
    <w:rsid w:val="00FF6858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EC186"/>
  <w15:docId w15:val="{306724A3-7568-45BC-9035-D9BBCD60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9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PARAGRAPH,List Paragraph 1,Scriptoria bullet points,References,Antes de enumeración,Párrafo de lista1,List Paragraph (numbered (a)),Use Case List Paragraph,Bullets,Lapis Bulleted List,List Paragraph1,Bullet List,FooterText"/>
    <w:basedOn w:val="Normal"/>
    <w:link w:val="ListParagraphChar"/>
    <w:uiPriority w:val="34"/>
    <w:qFormat/>
    <w:rsid w:val="00C92B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0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0188"/>
  </w:style>
  <w:style w:type="paragraph" w:styleId="Footer">
    <w:name w:val="footer"/>
    <w:basedOn w:val="Normal"/>
    <w:link w:val="FooterChar"/>
    <w:uiPriority w:val="99"/>
    <w:unhideWhenUsed/>
    <w:rsid w:val="00460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88"/>
  </w:style>
  <w:style w:type="character" w:styleId="CommentReference">
    <w:name w:val="annotation reference"/>
    <w:basedOn w:val="DefaultParagraphFont"/>
    <w:uiPriority w:val="99"/>
    <w:semiHidden/>
    <w:unhideWhenUsed/>
    <w:rsid w:val="004C5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D71"/>
    <w:rPr>
      <w:b/>
      <w:bCs/>
      <w:sz w:val="20"/>
      <w:szCs w:val="20"/>
    </w:rPr>
  </w:style>
  <w:style w:type="character" w:customStyle="1" w:styleId="ListParagraphChar">
    <w:name w:val="List Paragraph Char"/>
    <w:aliases w:val="NUMBERED PARAGRAPH Char,List Paragraph 1 Char,Scriptoria bullet points Char,References Char,Antes de enumeración Char,Párrafo de lista1 Char,List Paragraph (numbered (a)) Char,Use Case List Paragraph Char,Bullets Char,FooterText Char"/>
    <w:link w:val="ListParagraph"/>
    <w:uiPriority w:val="34"/>
    <w:qFormat/>
    <w:locked/>
    <w:rsid w:val="00B53102"/>
  </w:style>
  <w:style w:type="paragraph" w:styleId="NormalWeb">
    <w:name w:val="Normal (Web)"/>
    <w:basedOn w:val="Normal"/>
    <w:uiPriority w:val="99"/>
    <w:unhideWhenUsed/>
    <w:rsid w:val="007C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90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6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D347-08AA-418A-9785-A5D1A403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 Attia</dc:creator>
  <cp:lastModifiedBy>Abdulrahman Alaa Hussein</cp:lastModifiedBy>
  <cp:revision>2</cp:revision>
  <cp:lastPrinted>2022-03-14T09:59:00Z</cp:lastPrinted>
  <dcterms:created xsi:type="dcterms:W3CDTF">2024-04-28T10:56:00Z</dcterms:created>
  <dcterms:modified xsi:type="dcterms:W3CDTF">2024-04-28T10:56:00Z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f17927-79b2-40d2-8aa6-1ef1eabb3585_Enabled">
    <vt:lpwstr>true</vt:lpwstr>
  </property>
  <property fmtid="{D5CDD505-2E9C-101B-9397-08002B2CF9AE}" pid="3" name="MSIP_Label_e9f17927-79b2-40d2-8aa6-1ef1eabb3585_SetDate">
    <vt:lpwstr>2022-10-25T08:31:53Z</vt:lpwstr>
  </property>
  <property fmtid="{D5CDD505-2E9C-101B-9397-08002B2CF9AE}" pid="4" name="MSIP_Label_e9f17927-79b2-40d2-8aa6-1ef1eabb3585_Method">
    <vt:lpwstr>Standard</vt:lpwstr>
  </property>
  <property fmtid="{D5CDD505-2E9C-101B-9397-08002B2CF9AE}" pid="5" name="MSIP_Label_e9f17927-79b2-40d2-8aa6-1ef1eabb3585_Name">
    <vt:lpwstr>defa4170-0d19-0005-0004-bc88714345d2</vt:lpwstr>
  </property>
  <property fmtid="{D5CDD505-2E9C-101B-9397-08002B2CF9AE}" pid="6" name="MSIP_Label_e9f17927-79b2-40d2-8aa6-1ef1eabb3585_SiteId">
    <vt:lpwstr>4aa5460f-975c-4915-88d5-cf81ff19b905</vt:lpwstr>
  </property>
  <property fmtid="{D5CDD505-2E9C-101B-9397-08002B2CF9AE}" pid="7" name="MSIP_Label_e9f17927-79b2-40d2-8aa6-1ef1eabb3585_ActionId">
    <vt:lpwstr>5769f999-5059-4834-90fc-c10b6b29ff95</vt:lpwstr>
  </property>
  <property fmtid="{D5CDD505-2E9C-101B-9397-08002B2CF9AE}" pid="8" name="MSIP_Label_e9f17927-79b2-40d2-8aa6-1ef1eabb3585_ContentBits">
    <vt:lpwstr>0</vt:lpwstr>
  </property>
  <property fmtid="{D5CDD505-2E9C-101B-9397-08002B2CF9AE}" pid="9" name="GrammarlyDocumentId">
    <vt:lpwstr>4f286c6d931f91b6c8ea5d5e214d678b0c90a07a614202ed94b816d9949fc7c1</vt:lpwstr>
  </property>
</Properties>
</file>